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版本号：2025-HXCT-11020251031002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2025年医疗设备采购项目六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2025-HXCT-110</w:t>
      </w:r>
      <w:r>
        <w:br/>
      </w:r>
      <w:r>
        <w:br/>
      </w:r>
      <w:r>
        <w:br/>
      </w:r>
    </w:p>
    <w:p>
      <w:pPr>
        <w:pStyle w:val="null3"/>
        <w:jc w:val="center"/>
        <w:outlineLvl w:val="2"/>
      </w:pPr>
      <w:r>
        <w:rPr>
          <w:rFonts w:ascii="仿宋_GB2312" w:hAnsi="仿宋_GB2312" w:cs="仿宋_GB2312" w:eastAsia="仿宋_GB2312"/>
          <w:sz w:val="28"/>
          <w:b/>
        </w:rPr>
        <w:t>西安市儿童医院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西安市儿童医院</w:t>
      </w:r>
      <w:r>
        <w:rPr>
          <w:rFonts w:ascii="仿宋_GB2312" w:hAnsi="仿宋_GB2312" w:cs="仿宋_GB2312" w:eastAsia="仿宋_GB2312"/>
        </w:rPr>
        <w:t>委托，拟对</w:t>
      </w:r>
      <w:r>
        <w:rPr>
          <w:rFonts w:ascii="仿宋_GB2312" w:hAnsi="仿宋_GB2312" w:cs="仿宋_GB2312" w:eastAsia="仿宋_GB2312"/>
        </w:rPr>
        <w:t>2025年医疗设备采购项目六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2025年医疗设备采购项目六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双能X射线骨龄骨密度仪项目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1、营业执照等主体资格证明文件：提供统一社会信用代码的营业执照或其他组织经营的合法凭证或自然人的提供身份证明文件</w:t>
      </w:r>
    </w:p>
    <w:p>
      <w:pPr>
        <w:pStyle w:val="null3"/>
      </w:pPr>
      <w:r>
        <w:rPr>
          <w:rFonts w:ascii="仿宋_GB2312" w:hAnsi="仿宋_GB2312" w:cs="仿宋_GB2312" w:eastAsia="仿宋_GB2312"/>
        </w:rPr>
        <w:t>2、社保缴纳证明：提供已缴存的磋商时间前6个月内任一个月（磋商截止时间当月不计入）的社会保障资金缴存单据或社保机构开具的社会保险参保缴费情况证明。成立时间至提交响应文件截止时间不足一个月或依法不需要缴纳社会保障资金的投标人应提供相关文件证明。</w:t>
      </w:r>
    </w:p>
    <w:p>
      <w:pPr>
        <w:pStyle w:val="null3"/>
      </w:pPr>
      <w:r>
        <w:rPr>
          <w:rFonts w:ascii="仿宋_GB2312" w:hAnsi="仿宋_GB2312" w:cs="仿宋_GB2312" w:eastAsia="仿宋_GB2312"/>
        </w:rPr>
        <w:t>3、税收缴纳证明：提供已缴存的磋商时间前6个月内任一个月（磋商截止时间当月不计入）的的纳税证明或完税证明，纳税证明或完税证明上应有代收机构或税务机关的公章或业务专用章。依法免税的投标人应提供相关文件证明。成立时间至提交响应文件截止时间不足一个月或依法不需要缴纳社会保障资金的投标人应提供相关文件证明。</w:t>
      </w:r>
    </w:p>
    <w:p>
      <w:pPr>
        <w:pStyle w:val="null3"/>
      </w:pPr>
      <w:r>
        <w:rPr>
          <w:rFonts w:ascii="仿宋_GB2312" w:hAnsi="仿宋_GB2312" w:cs="仿宋_GB2312" w:eastAsia="仿宋_GB2312"/>
        </w:rPr>
        <w:t>4、财务状况报告：提供具有财务审计资质单位出具的2024年度财务报告或磋商前六个月内其基本账户银行出具的资信证明或财政部门认可的政府采购专业担保机构出具的担保函，以上形式的证明资料提供任何一种即可。(2022年10月1日后出具的审计报告应当经过注册会计师行业统一监管平台备案赋码。)</w:t>
      </w:r>
    </w:p>
    <w:p>
      <w:pPr>
        <w:pStyle w:val="null3"/>
      </w:pPr>
      <w:r>
        <w:rPr>
          <w:rFonts w:ascii="仿宋_GB2312" w:hAnsi="仿宋_GB2312" w:cs="仿宋_GB2312" w:eastAsia="仿宋_GB2312"/>
        </w:rPr>
        <w:t>5、书面声明：（1）出具履行合同所必需的设备和专业技术能力的书面声明；（2）出具参加本次政府采购活动无重大违法记录的书面声明。</w:t>
      </w:r>
    </w:p>
    <w:p>
      <w:pPr>
        <w:pStyle w:val="null3"/>
      </w:pPr>
      <w:r>
        <w:rPr>
          <w:rFonts w:ascii="仿宋_GB2312" w:hAnsi="仿宋_GB2312" w:cs="仿宋_GB2312" w:eastAsia="仿宋_GB2312"/>
        </w:rPr>
        <w:t>6、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7、授权委托书：非法定代表人参加投标的，须提供法定代表人投权委托书及被授权人身份证原件；法定代表人参加投标时,只须提供法定代表人身份证原件。</w:t>
      </w:r>
    </w:p>
    <w:p>
      <w:pPr>
        <w:pStyle w:val="null3"/>
      </w:pPr>
      <w:r>
        <w:rPr>
          <w:rFonts w:ascii="仿宋_GB2312" w:hAnsi="仿宋_GB2312" w:cs="仿宋_GB2312" w:eastAsia="仿宋_GB2312"/>
        </w:rPr>
        <w:t>8、企业资质：供应商为代理商应提供《医疗器械经营许可证》、厂家《医疗器械生产许可证》、《医疗器械注册证》或备案凭证或《医疗器械经营备案凭证》，供应商为制造厂商的应提供《医疗器械生产许可证》、《医疗器械注册证》（含医疗器械产品注册登记表及相关附件、备案凭证等）、产品彩页。</w:t>
      </w:r>
    </w:p>
    <w:p>
      <w:pPr>
        <w:pStyle w:val="null3"/>
      </w:pPr>
      <w:r>
        <w:rPr>
          <w:rFonts w:ascii="仿宋_GB2312" w:hAnsi="仿宋_GB2312" w:cs="仿宋_GB2312" w:eastAsia="仿宋_GB2312"/>
        </w:rPr>
        <w:t>9、联合体声明：本项目不接受联合体投标。（提供联合体声明）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西安市莲湖区西举院巷69号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西安市儿童医院经办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029-87692082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李阳艳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18119311406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招标代理服务收费管理暂行办法》（计价格[2002]1980号）、《国家发展改革委办公厅关于招标代理服务收费有关问题的通知》（发改价格[2003]857号）、《国家发展改革委关于进一步放开建设项目专业服务价格的通知》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西安市儿童医院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西安市儿童医院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（1）合同约定的质量和技术要求。 （2）货物原产地证明和出厂质量检验合格证书以及质量保修证书等和产品相关的证书。 （3）乙方应向甲方提供设备性能的测试程序、测试手段和测试标准。 （4）安装调试、技术培训完成后，填写货物验收单。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联系人：李阳艳</w:t>
      </w:r>
    </w:p>
    <w:p>
      <w:pPr>
        <w:pStyle w:val="null3"/>
      </w:pPr>
      <w:r>
        <w:rPr>
          <w:rFonts w:ascii="仿宋_GB2312" w:hAnsi="仿宋_GB2312" w:cs="仿宋_GB2312" w:eastAsia="仿宋_GB2312"/>
        </w:rPr>
        <w:t>联系电话：18119311406</w:t>
      </w:r>
    </w:p>
    <w:p>
      <w:pPr>
        <w:pStyle w:val="null3"/>
      </w:pPr>
      <w:r>
        <w:rPr>
          <w:rFonts w:ascii="仿宋_GB2312" w:hAnsi="仿宋_GB2312" w:cs="仿宋_GB2312" w:eastAsia="仿宋_GB2312"/>
        </w:rPr>
        <w:t>地址：西安市未央区凤城七路长和国际D座26楼</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双能X射线骨龄骨密度仪项目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双能X射线骨龄骨密度仪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标的名称：双能X射线骨龄骨密度仪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b/>
              </w:rPr>
              <w:t>项目概况</w:t>
            </w:r>
            <w:r>
              <w:rPr>
                <w:rFonts w:ascii="仿宋_GB2312" w:hAnsi="仿宋_GB2312" w:cs="仿宋_GB2312" w:eastAsia="仿宋_GB2312"/>
                <w:sz w:val="24"/>
                <w:b/>
              </w:rPr>
              <w:t>：</w:t>
            </w:r>
          </w:p>
          <w:p>
            <w:pPr>
              <w:pStyle w:val="null3"/>
              <w:ind w:firstLine="480"/>
              <w:jc w:val="both"/>
            </w:pPr>
            <w:r>
              <w:rPr>
                <w:rFonts w:ascii="仿宋_GB2312" w:hAnsi="仿宋_GB2312" w:cs="仿宋_GB2312" w:eastAsia="仿宋_GB2312"/>
                <w:sz w:val="24"/>
                <w:color w:val="000000"/>
              </w:rPr>
              <w:t>随着中西医结合科生长发育门诊成立，就诊患儿需求，科室购置《双能</w:t>
            </w:r>
            <w:r>
              <w:rPr>
                <w:rFonts w:ascii="仿宋_GB2312" w:hAnsi="仿宋_GB2312" w:cs="仿宋_GB2312" w:eastAsia="仿宋_GB2312"/>
                <w:sz w:val="24"/>
                <w:color w:val="000000"/>
              </w:rPr>
              <w:t>X射线骨龄骨密度仪》一台。骨密度检测仪是医院儿科内分泌科中西医结合科必备的设备，随着时代发展人们生活水平不断提高，生育政策的放开，家长们最关心孩子的问题之一就是生长发育问题，所以现在对骨密度检测和骨龄检测需求也越发强烈。通过骨龄检测，可以检测儿童青少年生长发育情况及预测成年后的身高。骨龄检测是儿童生长发育中必要的检查项目，能准确反映儿童现阶段的发育程度，为医生诊断以及治疗提供依据。</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、采购内容（包括采购品目、规格和数量）：</w:t>
            </w:r>
          </w:p>
          <w:tbl>
            <w:tblPr>
              <w:tblInd w:type="dxa" w:w="420"/>
              <w:tblBorders>
                <w:top w:val="none" w:color="000000" w:sz="4"/>
                <w:left w:val="none" w:color="000000" w:sz="4"/>
                <w:bottom w:val="none" w:color="000000" w:sz="4"/>
                <w:right w:val="none" w:color="000000" w:sz="4"/>
                <w:insideH w:val="none"/>
                <w:insideV w:val="none"/>
              </w:tblBorders>
            </w:tblPr>
            <w:tblGrid>
              <w:gridCol w:w="223"/>
              <w:gridCol w:w="656"/>
              <w:gridCol w:w="274"/>
              <w:gridCol w:w="395"/>
              <w:gridCol w:w="395"/>
              <w:gridCol w:w="307"/>
              <w:gridCol w:w="302"/>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预算单价</w:t>
                  </w:r>
                </w:p>
                <w:p>
                  <w:pPr>
                    <w:pStyle w:val="null3"/>
                    <w:jc w:val="center"/>
                  </w:pPr>
                  <w:r>
                    <w:rPr>
                      <w:rFonts w:ascii="仿宋_GB2312" w:hAnsi="仿宋_GB2312" w:cs="仿宋_GB2312" w:eastAsia="仿宋_GB2312"/>
                      <w:sz w:val="24"/>
                    </w:rPr>
                    <w:t>（万元）</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最高限价</w:t>
                  </w:r>
                </w:p>
                <w:p>
                  <w:pPr>
                    <w:pStyle w:val="null3"/>
                    <w:jc w:val="center"/>
                  </w:pPr>
                  <w:r>
                    <w:rPr>
                      <w:rFonts w:ascii="仿宋_GB2312" w:hAnsi="仿宋_GB2312" w:cs="仿宋_GB2312" w:eastAsia="仿宋_GB2312"/>
                      <w:sz w:val="24"/>
                    </w:rPr>
                    <w:t>（万元）</w:t>
                  </w:r>
                </w:p>
              </w:tc>
              <w:tc>
                <w:tcPr>
                  <w:tcW w:type="dxa" w:w="3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是否</w:t>
                  </w:r>
                </w:p>
                <w:p>
                  <w:pPr>
                    <w:pStyle w:val="null3"/>
                    <w:jc w:val="center"/>
                  </w:pPr>
                  <w:r>
                    <w:rPr>
                      <w:rFonts w:ascii="仿宋_GB2312" w:hAnsi="仿宋_GB2312" w:cs="仿宋_GB2312" w:eastAsia="仿宋_GB2312"/>
                      <w:sz w:val="24"/>
                      <w:color w:val="000000"/>
                    </w:rPr>
                    <w:t>进口</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规格</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双能</w:t>
                  </w:r>
                  <w:r>
                    <w:rPr>
                      <w:rFonts w:ascii="仿宋_GB2312" w:hAnsi="仿宋_GB2312" w:cs="仿宋_GB2312" w:eastAsia="仿宋_GB2312"/>
                      <w:sz w:val="24"/>
                      <w:color w:val="000000"/>
                    </w:rPr>
                    <w:t>X射线骨龄</w:t>
                  </w:r>
                </w:p>
                <w:p>
                  <w:pPr>
                    <w:pStyle w:val="null3"/>
                    <w:jc w:val="center"/>
                  </w:pPr>
                  <w:r>
                    <w:rPr>
                      <w:rFonts w:ascii="仿宋_GB2312" w:hAnsi="仿宋_GB2312" w:cs="仿宋_GB2312" w:eastAsia="仿宋_GB2312"/>
                      <w:sz w:val="24"/>
                      <w:color w:val="000000"/>
                    </w:rPr>
                    <w:t>骨密度仪</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3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否</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color w:val="000000"/>
              </w:rPr>
              <w:t>三</w:t>
            </w:r>
            <w:r>
              <w:rPr>
                <w:rFonts w:ascii="仿宋_GB2312" w:hAnsi="仿宋_GB2312" w:cs="仿宋_GB2312" w:eastAsia="仿宋_GB2312"/>
                <w:sz w:val="21"/>
                <w:b/>
                <w:color w:val="000000"/>
              </w:rPr>
              <w:t>、</w:t>
            </w:r>
            <w:r>
              <w:rPr>
                <w:rFonts w:ascii="仿宋_GB2312" w:hAnsi="仿宋_GB2312" w:cs="仿宋_GB2312" w:eastAsia="仿宋_GB2312"/>
                <w:sz w:val="24"/>
                <w:b/>
              </w:rPr>
              <w:t>技术</w:t>
            </w:r>
            <w:r>
              <w:rPr>
                <w:rFonts w:ascii="仿宋_GB2312" w:hAnsi="仿宋_GB2312" w:cs="仿宋_GB2312" w:eastAsia="仿宋_GB2312"/>
                <w:sz w:val="24"/>
                <w:b/>
              </w:rPr>
              <w:t>参数</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具备骨龄检测功能和双能</w:t>
            </w:r>
            <w:r>
              <w:rPr>
                <w:rFonts w:ascii="仿宋_GB2312" w:hAnsi="仿宋_GB2312" w:cs="仿宋_GB2312" w:eastAsia="仿宋_GB2312"/>
                <w:sz w:val="24"/>
                <w:color w:val="000000"/>
              </w:rPr>
              <w:t>X线骨密度检测功能。整体自带铅防护功能，符合医疗机构辐射防护要求。</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加载时间：</w:t>
            </w:r>
          </w:p>
          <w:p>
            <w:pPr>
              <w:pStyle w:val="null3"/>
              <w:ind w:firstLine="480"/>
              <w:jc w:val="both"/>
            </w:pPr>
            <w:r>
              <w:rPr>
                <w:rFonts w:ascii="仿宋_GB2312" w:hAnsi="仿宋_GB2312" w:cs="仿宋_GB2312" w:eastAsia="仿宋_GB2312"/>
                <w:sz w:val="24"/>
                <w:color w:val="000000"/>
              </w:rPr>
              <w:t xml:space="preserve">2.1加载时间的偏差值：≤ </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p>
          <w:p>
            <w:pPr>
              <w:pStyle w:val="null3"/>
              <w:ind w:firstLine="480"/>
              <w:jc w:val="both"/>
            </w:pPr>
            <w:r>
              <w:rPr>
                <w:rFonts w:ascii="仿宋_GB2312" w:hAnsi="仿宋_GB2312" w:cs="仿宋_GB2312" w:eastAsia="仿宋_GB2312"/>
                <w:sz w:val="24"/>
                <w:color w:val="000000"/>
              </w:rPr>
              <w:t>2.2</w:t>
            </w:r>
            <w:r>
              <w:rPr>
                <w:rFonts w:ascii="仿宋_GB2312" w:hAnsi="仿宋_GB2312" w:cs="仿宋_GB2312" w:eastAsia="仿宋_GB2312"/>
                <w:sz w:val="24"/>
                <w:color w:val="000000"/>
              </w:rPr>
              <w:t>调节要求：</w:t>
            </w:r>
            <w:r>
              <w:rPr>
                <w:rFonts w:ascii="仿宋_GB2312" w:hAnsi="仿宋_GB2312" w:cs="仿宋_GB2312" w:eastAsia="仿宋_GB2312"/>
                <w:sz w:val="24"/>
                <w:color w:val="000000"/>
              </w:rPr>
              <w:t>低能：</w:t>
            </w:r>
            <w:r>
              <w:rPr>
                <w:rFonts w:ascii="仿宋_GB2312" w:hAnsi="仿宋_GB2312" w:cs="仿宋_GB2312" w:eastAsia="仿宋_GB2312"/>
                <w:sz w:val="24"/>
                <w:color w:val="000000"/>
              </w:rPr>
              <w:t>0.2 s～1 s</w:t>
            </w:r>
            <w:r>
              <w:rPr>
                <w:rFonts w:ascii="仿宋_GB2312" w:hAnsi="仿宋_GB2312" w:cs="仿宋_GB2312" w:eastAsia="仿宋_GB2312"/>
                <w:sz w:val="24"/>
                <w:color w:val="000000"/>
              </w:rPr>
              <w:t>；高能：</w:t>
            </w:r>
            <w:r>
              <w:rPr>
                <w:rFonts w:ascii="仿宋_GB2312" w:hAnsi="仿宋_GB2312" w:cs="仿宋_GB2312" w:eastAsia="仿宋_GB2312"/>
                <w:sz w:val="24"/>
                <w:color w:val="000000"/>
              </w:rPr>
              <w:t>0.1 s</w:t>
            </w:r>
            <w:r>
              <w:rPr>
                <w:rFonts w:ascii="仿宋_GB2312" w:hAnsi="仿宋_GB2312" w:cs="仿宋_GB2312" w:eastAsia="仿宋_GB2312"/>
                <w:sz w:val="24"/>
                <w:color w:val="000000"/>
              </w:rPr>
              <w:t>～</w:t>
            </w:r>
            <w:r>
              <w:rPr>
                <w:rFonts w:ascii="仿宋_GB2312" w:hAnsi="仿宋_GB2312" w:cs="仿宋_GB2312" w:eastAsia="仿宋_GB2312"/>
                <w:sz w:val="24"/>
                <w:color w:val="000000"/>
              </w:rPr>
              <w:t>1 s</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具有防过载措施，应保证加载因素的选择不会超过</w:t>
            </w:r>
            <w:r>
              <w:rPr>
                <w:rFonts w:ascii="仿宋_GB2312" w:hAnsi="仿宋_GB2312" w:cs="仿宋_GB2312" w:eastAsia="仿宋_GB2312"/>
                <w:sz w:val="24"/>
                <w:color w:val="000000"/>
              </w:rPr>
              <w:t>X射线管的额定容量。</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X射线管电压：</w:t>
            </w:r>
          </w:p>
          <w:p>
            <w:pPr>
              <w:pStyle w:val="null3"/>
              <w:ind w:firstLine="480"/>
              <w:jc w:val="both"/>
            </w:pPr>
            <w:r>
              <w:rPr>
                <w:rFonts w:ascii="仿宋_GB2312" w:hAnsi="仿宋_GB2312" w:cs="仿宋_GB2312" w:eastAsia="仿宋_GB2312"/>
                <w:sz w:val="24"/>
                <w:color w:val="000000"/>
              </w:rPr>
              <w:t>4.1调节模式：连续可调，步长1 kV。</w:t>
            </w:r>
          </w:p>
          <w:p>
            <w:pPr>
              <w:pStyle w:val="null3"/>
              <w:ind w:firstLine="480"/>
              <w:jc w:val="both"/>
            </w:pPr>
            <w:r>
              <w:rPr>
                <w:rFonts w:ascii="仿宋_GB2312" w:hAnsi="仿宋_GB2312" w:cs="仿宋_GB2312" w:eastAsia="仿宋_GB2312"/>
                <w:sz w:val="24"/>
                <w:color w:val="000000"/>
              </w:rPr>
              <w:t>4.2管电压范围：</w:t>
            </w:r>
            <w:r>
              <w:rPr>
                <w:rFonts w:ascii="仿宋_GB2312" w:hAnsi="仿宋_GB2312" w:cs="仿宋_GB2312" w:eastAsia="仿宋_GB2312"/>
                <w:sz w:val="24"/>
                <w:color w:val="000000"/>
              </w:rPr>
              <w:t>低能：</w:t>
            </w:r>
            <w:r>
              <w:rPr>
                <w:rFonts w:ascii="仿宋_GB2312" w:hAnsi="仿宋_GB2312" w:cs="仿宋_GB2312" w:eastAsia="仿宋_GB2312"/>
                <w:sz w:val="24"/>
                <w:color w:val="000000"/>
              </w:rPr>
              <w:t>40 kV～50 kV</w:t>
            </w:r>
            <w:r>
              <w:rPr>
                <w:rFonts w:ascii="仿宋_GB2312" w:hAnsi="仿宋_GB2312" w:cs="仿宋_GB2312" w:eastAsia="仿宋_GB2312"/>
                <w:sz w:val="24"/>
                <w:color w:val="000000"/>
              </w:rPr>
              <w:t>；高能：</w:t>
            </w:r>
            <w:r>
              <w:rPr>
                <w:rFonts w:ascii="仿宋_GB2312" w:hAnsi="仿宋_GB2312" w:cs="仿宋_GB2312" w:eastAsia="仿宋_GB2312"/>
                <w:sz w:val="24"/>
                <w:color w:val="000000"/>
              </w:rPr>
              <w:t>60 kV～70 kV；</w:t>
            </w:r>
            <w:r>
              <w:rPr>
                <w:rFonts w:ascii="仿宋_GB2312" w:hAnsi="仿宋_GB2312" w:cs="仿宋_GB2312" w:eastAsia="仿宋_GB2312"/>
                <w:sz w:val="24"/>
                <w:color w:val="000000"/>
              </w:rPr>
              <w:t>管电流范围</w:t>
            </w:r>
            <w:r>
              <w:rPr>
                <w:rFonts w:ascii="仿宋_GB2312" w:hAnsi="仿宋_GB2312" w:cs="仿宋_GB2312" w:eastAsia="仿宋_GB2312"/>
                <w:sz w:val="24"/>
                <w:color w:val="000000"/>
              </w:rPr>
              <w:t>：低能：</w:t>
            </w:r>
            <w:r>
              <w:rPr>
                <w:rFonts w:ascii="仿宋_GB2312" w:hAnsi="仿宋_GB2312" w:cs="仿宋_GB2312" w:eastAsia="仿宋_GB2312"/>
                <w:sz w:val="24"/>
                <w:color w:val="000000"/>
              </w:rPr>
              <w:t>1mA～6.0mA；高能：1mA～12mA 。</w:t>
            </w:r>
          </w:p>
          <w:p>
            <w:pPr>
              <w:pStyle w:val="null3"/>
              <w:ind w:firstLine="480"/>
              <w:jc w:val="both"/>
            </w:pPr>
            <w:r>
              <w:rPr>
                <w:rFonts w:ascii="仿宋_GB2312" w:hAnsi="仿宋_GB2312" w:cs="仿宋_GB2312" w:eastAsia="仿宋_GB2312"/>
                <w:sz w:val="24"/>
                <w:color w:val="000000"/>
              </w:rPr>
              <w:t>4.3 X射线发生器靶角≧20°。</w:t>
            </w:r>
          </w:p>
          <w:p>
            <w:pPr>
              <w:pStyle w:val="null3"/>
              <w:ind w:firstLine="480"/>
              <w:jc w:val="both"/>
            </w:pPr>
            <w:r>
              <w:rPr>
                <w:rFonts w:ascii="仿宋_GB2312" w:hAnsi="仿宋_GB2312" w:cs="仿宋_GB2312" w:eastAsia="仿宋_GB2312"/>
                <w:sz w:val="24"/>
                <w:color w:val="000000"/>
              </w:rPr>
              <w:t>5.具有铅玻璃观察窗：高透光性铅玻璃材质，可清晰观察儿童手腕摆位是否正确。</w:t>
            </w:r>
          </w:p>
          <w:p>
            <w:pPr>
              <w:pStyle w:val="null3"/>
              <w:ind w:firstLine="480"/>
              <w:jc w:val="both"/>
            </w:pPr>
            <w:r>
              <w:rPr>
                <w:rFonts w:ascii="仿宋_GB2312" w:hAnsi="仿宋_GB2312" w:cs="仿宋_GB2312" w:eastAsia="仿宋_GB2312"/>
                <w:sz w:val="24"/>
                <w:color w:val="000000"/>
              </w:rPr>
              <w:t>6. X线平板探测器</w:t>
            </w:r>
          </w:p>
          <w:p>
            <w:pPr>
              <w:pStyle w:val="null3"/>
              <w:ind w:firstLine="480"/>
              <w:jc w:val="both"/>
            </w:pPr>
            <w:r>
              <w:rPr>
                <w:rFonts w:ascii="仿宋_GB2312" w:hAnsi="仿宋_GB2312" w:cs="仿宋_GB2312" w:eastAsia="仿宋_GB2312"/>
                <w:sz w:val="24"/>
                <w:color w:val="000000"/>
              </w:rPr>
              <w:t>6.1 空间分辨率：≥5.0 lp/mm。（在厚度约25mmAI衰减体模情况下）</w:t>
            </w:r>
          </w:p>
          <w:p>
            <w:pPr>
              <w:pStyle w:val="null3"/>
              <w:ind w:firstLine="480"/>
              <w:jc w:val="both"/>
            </w:pPr>
            <w:r>
              <w:rPr>
                <w:rFonts w:ascii="仿宋_GB2312" w:hAnsi="仿宋_GB2312" w:cs="仿宋_GB2312" w:eastAsia="仿宋_GB2312"/>
                <w:sz w:val="24"/>
                <w:color w:val="000000"/>
              </w:rPr>
              <w:t>6.2 低对比度分辨率： ≤2.5%。</w:t>
            </w:r>
          </w:p>
          <w:p>
            <w:pPr>
              <w:pStyle w:val="null3"/>
              <w:ind w:firstLine="480"/>
              <w:jc w:val="both"/>
            </w:pPr>
            <w:r>
              <w:rPr>
                <w:rFonts w:ascii="仿宋_GB2312" w:hAnsi="仿宋_GB2312" w:cs="仿宋_GB2312" w:eastAsia="仿宋_GB2312"/>
                <w:sz w:val="24"/>
                <w:color w:val="000000"/>
              </w:rPr>
              <w:t>6.3 动态范围：在标称视野模式下可辨别的动态阶楔数≥10。</w:t>
            </w:r>
          </w:p>
          <w:p>
            <w:pPr>
              <w:pStyle w:val="null3"/>
              <w:ind w:firstLine="480"/>
              <w:jc w:val="both"/>
            </w:pPr>
            <w:r>
              <w:rPr>
                <w:rFonts w:ascii="仿宋_GB2312" w:hAnsi="仿宋_GB2312" w:cs="仿宋_GB2312" w:eastAsia="仿宋_GB2312"/>
                <w:sz w:val="24"/>
                <w:color w:val="000000"/>
              </w:rPr>
              <w:t>6.4 成像面积：≥220 mm*280mm。</w:t>
            </w:r>
          </w:p>
          <w:p>
            <w:pPr>
              <w:pStyle w:val="null3"/>
              <w:ind w:firstLine="480"/>
              <w:jc w:val="both"/>
            </w:pPr>
            <w:r>
              <w:rPr>
                <w:rFonts w:ascii="仿宋_GB2312" w:hAnsi="仿宋_GB2312" w:cs="仿宋_GB2312" w:eastAsia="仿宋_GB2312"/>
                <w:sz w:val="24"/>
                <w:color w:val="000000"/>
              </w:rPr>
              <w:t>▲6.5像素尺寸：≤140μm，</w:t>
            </w:r>
            <w:r>
              <w:rPr>
                <w:rFonts w:ascii="仿宋_GB2312" w:hAnsi="仿宋_GB2312" w:cs="仿宋_GB2312" w:eastAsia="仿宋_GB2312"/>
                <w:sz w:val="24"/>
                <w:color w:val="000000"/>
              </w:rPr>
              <w:t>显示的剂量面积乘积与测量值的误差</w:t>
            </w:r>
            <w:r>
              <w:rPr>
                <w:rFonts w:ascii="仿宋_GB2312" w:hAnsi="仿宋_GB2312" w:cs="仿宋_GB2312" w:eastAsia="仿宋_GB2312"/>
                <w:sz w:val="24"/>
                <w:color w:val="000000"/>
              </w:rPr>
              <w:t>≤±35%。儿科放射学摄影时有效剂量的范围为 0.002～0.125mSv。</w:t>
            </w:r>
          </w:p>
          <w:p>
            <w:pPr>
              <w:pStyle w:val="null3"/>
              <w:ind w:firstLine="480"/>
              <w:jc w:val="both"/>
            </w:pPr>
            <w:r>
              <w:rPr>
                <w:rFonts w:ascii="仿宋_GB2312" w:hAnsi="仿宋_GB2312" w:cs="仿宋_GB2312" w:eastAsia="仿宋_GB2312"/>
                <w:sz w:val="24"/>
                <w:color w:val="000000"/>
              </w:rPr>
              <w:t>6.6入射空气比释动能：在全部扫描模式中，分别测量低值、中值、高值模式下对应的入射空气比释动能值，与标称值的偏差 ≤</w:t>
            </w:r>
            <w:r>
              <w:rPr>
                <w:rFonts w:ascii="仿宋_GB2312" w:hAnsi="仿宋_GB2312" w:cs="仿宋_GB2312" w:eastAsia="仿宋_GB2312"/>
                <w:sz w:val="24"/>
                <w:color w:val="000000"/>
              </w:rPr>
              <w:t>±</w:t>
            </w:r>
            <w:r>
              <w:rPr>
                <w:rFonts w:ascii="仿宋_GB2312" w:hAnsi="仿宋_GB2312" w:cs="仿宋_GB2312" w:eastAsia="仿宋_GB2312"/>
                <w:sz w:val="24"/>
                <w:color w:val="000000"/>
              </w:rPr>
              <w:t>10%。</w:t>
            </w:r>
          </w:p>
          <w:p>
            <w:pPr>
              <w:pStyle w:val="null3"/>
              <w:ind w:firstLine="480"/>
              <w:jc w:val="both"/>
            </w:pPr>
            <w:r>
              <w:rPr>
                <w:rFonts w:ascii="仿宋_GB2312" w:hAnsi="仿宋_GB2312" w:cs="仿宋_GB2312" w:eastAsia="仿宋_GB2312"/>
                <w:sz w:val="24"/>
                <w:color w:val="000000"/>
              </w:rPr>
              <w:t>6.7承重≥10kg。</w:t>
            </w:r>
          </w:p>
          <w:p>
            <w:pPr>
              <w:pStyle w:val="null3"/>
              <w:ind w:firstLine="480"/>
              <w:jc w:val="both"/>
            </w:pPr>
            <w:r>
              <w:rPr>
                <w:rFonts w:ascii="仿宋_GB2312" w:hAnsi="仿宋_GB2312" w:cs="仿宋_GB2312" w:eastAsia="仿宋_GB2312"/>
                <w:sz w:val="24"/>
                <w:color w:val="000000"/>
              </w:rPr>
              <w:t>6.8 X射线衰减当量≤ 0.5mmAl。</w:t>
            </w:r>
          </w:p>
          <w:p>
            <w:pPr>
              <w:pStyle w:val="null3"/>
              <w:ind w:firstLine="480"/>
              <w:jc w:val="both"/>
            </w:pPr>
            <w:r>
              <w:rPr>
                <w:rFonts w:ascii="仿宋_GB2312" w:hAnsi="仿宋_GB2312" w:cs="仿宋_GB2312" w:eastAsia="仿宋_GB2312"/>
                <w:sz w:val="24"/>
                <w:color w:val="000000"/>
              </w:rPr>
              <w:t xml:space="preserve">6.9 </w:t>
            </w:r>
            <w:r>
              <w:rPr>
                <w:rFonts w:ascii="仿宋_GB2312" w:hAnsi="仿宋_GB2312" w:cs="仿宋_GB2312" w:eastAsia="仿宋_GB2312"/>
                <w:sz w:val="24"/>
                <w:color w:val="000000"/>
              </w:rPr>
              <w:t>影像存储和传输功能：影像可无损传输至</w:t>
            </w:r>
            <w:r>
              <w:rPr>
                <w:rFonts w:ascii="仿宋_GB2312" w:hAnsi="仿宋_GB2312" w:cs="仿宋_GB2312" w:eastAsia="仿宋_GB2312"/>
                <w:sz w:val="24"/>
                <w:color w:val="000000"/>
              </w:rPr>
              <w:t>PACS影像系统，影像成像时间≤10s。</w:t>
            </w:r>
          </w:p>
          <w:p>
            <w:pPr>
              <w:pStyle w:val="null3"/>
              <w:ind w:firstLine="480"/>
              <w:jc w:val="both"/>
            </w:pPr>
            <w:r>
              <w:rPr>
                <w:rFonts w:ascii="仿宋_GB2312" w:hAnsi="仿宋_GB2312" w:cs="仿宋_GB2312" w:eastAsia="仿宋_GB2312"/>
                <w:sz w:val="24"/>
                <w:color w:val="000000"/>
              </w:rPr>
              <w:t>7. 骨密度功能</w:t>
            </w:r>
          </w:p>
          <w:p>
            <w:pPr>
              <w:pStyle w:val="null3"/>
              <w:ind w:firstLine="480"/>
              <w:jc w:val="both"/>
            </w:pPr>
            <w:r>
              <w:rPr>
                <w:rFonts w:ascii="仿宋_GB2312" w:hAnsi="仿宋_GB2312" w:cs="仿宋_GB2312" w:eastAsia="仿宋_GB2312"/>
                <w:sz w:val="24"/>
                <w:color w:val="000000"/>
              </w:rPr>
              <w:t>▲7.1 骨密度：准确度偏差：≤ ±5%。</w:t>
            </w:r>
          </w:p>
          <w:p>
            <w:pPr>
              <w:pStyle w:val="null3"/>
              <w:ind w:firstLine="480"/>
              <w:jc w:val="both"/>
            </w:pPr>
            <w:r>
              <w:rPr>
                <w:rFonts w:ascii="仿宋_GB2312" w:hAnsi="仿宋_GB2312" w:cs="仿宋_GB2312" w:eastAsia="仿宋_GB2312"/>
                <w:sz w:val="24"/>
                <w:color w:val="000000"/>
              </w:rPr>
              <w:t>▲7.2 骨密度：变异系数：≤ 3%。</w:t>
            </w:r>
          </w:p>
          <w:p>
            <w:pPr>
              <w:pStyle w:val="null3"/>
              <w:ind w:firstLine="480"/>
              <w:jc w:val="both"/>
            </w:pPr>
            <w:r>
              <w:rPr>
                <w:rFonts w:ascii="仿宋_GB2312" w:hAnsi="仿宋_GB2312" w:cs="仿宋_GB2312" w:eastAsia="仿宋_GB2312"/>
                <w:sz w:val="24"/>
                <w:color w:val="000000"/>
              </w:rPr>
              <w:t>7.3 规定模体的骨密度结果线性相关系数R≥0.99。</w:t>
            </w:r>
          </w:p>
          <w:p>
            <w:pPr>
              <w:pStyle w:val="null3"/>
              <w:ind w:firstLine="480"/>
              <w:jc w:val="both"/>
            </w:pPr>
            <w:r>
              <w:rPr>
                <w:rFonts w:ascii="仿宋_GB2312" w:hAnsi="仿宋_GB2312" w:cs="仿宋_GB2312" w:eastAsia="仿宋_GB2312"/>
                <w:sz w:val="24"/>
                <w:color w:val="000000"/>
              </w:rPr>
              <w:t>8.辐射剂量当量 ≤ 1 μSv/h。</w:t>
            </w:r>
          </w:p>
          <w:p>
            <w:pPr>
              <w:pStyle w:val="null3"/>
              <w:ind w:firstLine="480"/>
              <w:jc w:val="both"/>
            </w:pPr>
            <w:r>
              <w:rPr>
                <w:rFonts w:ascii="仿宋_GB2312" w:hAnsi="仿宋_GB2312" w:cs="仿宋_GB2312" w:eastAsia="仿宋_GB2312"/>
                <w:sz w:val="24"/>
                <w:color w:val="000000"/>
              </w:rPr>
              <w:t>9.曝光控制装置：配备有线曝光开关。</w:t>
            </w:r>
          </w:p>
          <w:p>
            <w:pPr>
              <w:pStyle w:val="null3"/>
              <w:ind w:firstLine="480"/>
              <w:jc w:val="both"/>
            </w:pPr>
            <w:r>
              <w:rPr>
                <w:rFonts w:ascii="仿宋_GB2312" w:hAnsi="仿宋_GB2312" w:cs="仿宋_GB2312" w:eastAsia="仿宋_GB2312"/>
                <w:sz w:val="24"/>
                <w:color w:val="000000"/>
              </w:rPr>
              <w:t>10. 网络安全：通过 USB 接口按照 USB 3.0 协议进行数据的存储和导出。通过 RJ45 接口按照 DICOM 3.0 协议进行数据通讯。</w:t>
            </w:r>
          </w:p>
          <w:p>
            <w:pPr>
              <w:pStyle w:val="null3"/>
              <w:ind w:firstLine="480"/>
              <w:jc w:val="both"/>
            </w:pPr>
            <w:r>
              <w:rPr>
                <w:rFonts w:ascii="仿宋_GB2312" w:hAnsi="仿宋_GB2312" w:cs="仿宋_GB2312" w:eastAsia="仿宋_GB2312"/>
                <w:sz w:val="24"/>
                <w:color w:val="000000"/>
              </w:rPr>
              <w:t>11、软件功能</w:t>
            </w:r>
          </w:p>
          <w:p>
            <w:pPr>
              <w:pStyle w:val="null3"/>
              <w:ind w:firstLine="480"/>
              <w:jc w:val="both"/>
            </w:pPr>
            <w:r>
              <w:rPr>
                <w:rFonts w:ascii="仿宋_GB2312" w:hAnsi="仿宋_GB2312" w:cs="仿宋_GB2312" w:eastAsia="仿宋_GB2312"/>
                <w:sz w:val="24"/>
                <w:color w:val="000000"/>
              </w:rPr>
              <w:t>11.1内置专业骨龄拍片系统，设备开机之后，输入登录密码，可直接进入专业骨龄拍摄界面，实现骨龄拍片-图像处理-骨龄评估-报告一体化。</w:t>
            </w:r>
          </w:p>
          <w:p>
            <w:pPr>
              <w:pStyle w:val="null3"/>
              <w:ind w:firstLine="480"/>
              <w:jc w:val="both"/>
            </w:pPr>
            <w:r>
              <w:rPr>
                <w:rFonts w:ascii="仿宋_GB2312" w:hAnsi="仿宋_GB2312" w:cs="仿宋_GB2312" w:eastAsia="仿宋_GB2312"/>
                <w:sz w:val="24"/>
                <w:color w:val="000000"/>
              </w:rPr>
              <w:t>11.2辅助摆位功能：可以通过有线连接实时调用设备内部摄像头，具备智能摆位实时监控及手部定位系统，观察被检查者的手部和腕部摆位。</w:t>
            </w:r>
          </w:p>
          <w:p>
            <w:pPr>
              <w:pStyle w:val="null3"/>
              <w:ind w:firstLine="480"/>
              <w:jc w:val="both"/>
            </w:pPr>
            <w:r>
              <w:rPr>
                <w:rFonts w:ascii="仿宋_GB2312" w:hAnsi="仿宋_GB2312" w:cs="仿宋_GB2312" w:eastAsia="仿宋_GB2312"/>
                <w:sz w:val="24"/>
                <w:color w:val="000000"/>
              </w:rPr>
              <w:t>11.3软件具备权限管理、患者登记、图像采集、图像处理、胶片打印、备份、导出图像等基础功能。</w:t>
            </w:r>
          </w:p>
          <w:p>
            <w:pPr>
              <w:pStyle w:val="null3"/>
              <w:ind w:firstLine="480"/>
              <w:jc w:val="both"/>
            </w:pPr>
            <w:r>
              <w:rPr>
                <w:rFonts w:ascii="仿宋_GB2312" w:hAnsi="仿宋_GB2312" w:cs="仿宋_GB2312" w:eastAsia="仿宋_GB2312"/>
                <w:sz w:val="24"/>
                <w:color w:val="000000"/>
              </w:rPr>
              <w:t>11.4影像阅片功能：完整显示被检查者的手腕骨轮廓，影像阅片应至少具备：影像移动、影像缩放、窗宽窗位调节、反色功能、影像旋转、放大镜功能。</w:t>
            </w:r>
          </w:p>
          <w:p>
            <w:pPr>
              <w:pStyle w:val="null3"/>
              <w:ind w:firstLine="480"/>
              <w:jc w:val="both"/>
            </w:pPr>
            <w:r>
              <w:rPr>
                <w:rFonts w:ascii="仿宋_GB2312" w:hAnsi="仿宋_GB2312" w:cs="仿宋_GB2312" w:eastAsia="仿宋_GB2312"/>
                <w:sz w:val="24"/>
                <w:color w:val="000000"/>
              </w:rPr>
              <w:t>11.5骨龄分析功能</w:t>
            </w:r>
          </w:p>
          <w:p>
            <w:pPr>
              <w:pStyle w:val="null3"/>
              <w:ind w:firstLine="480"/>
              <w:jc w:val="both"/>
            </w:pPr>
            <w:r>
              <w:rPr>
                <w:rFonts w:ascii="仿宋_GB2312" w:hAnsi="仿宋_GB2312" w:cs="仿宋_GB2312" w:eastAsia="仿宋_GB2312"/>
                <w:sz w:val="24"/>
                <w:color w:val="000000"/>
              </w:rPr>
              <w:t>11.5.1 支持使用中华05标准法/TW3法对骨龄进行分析。</w:t>
            </w:r>
          </w:p>
          <w:p>
            <w:pPr>
              <w:pStyle w:val="null3"/>
              <w:ind w:firstLine="480"/>
              <w:jc w:val="both"/>
            </w:pPr>
            <w:r>
              <w:rPr>
                <w:rFonts w:ascii="仿宋_GB2312" w:hAnsi="仿宋_GB2312" w:cs="仿宋_GB2312" w:eastAsia="仿宋_GB2312"/>
                <w:sz w:val="24"/>
                <w:color w:val="000000"/>
              </w:rPr>
              <w:t>11.5.2中华05标准法支持RUS-CHN（R系列）和TW3-C Carpal（C系列）评价方法，并出具显示RUS-CHN（R系列）和TW3-C Carpal（C系列）骨龄分析结果及影像所见。</w:t>
            </w:r>
          </w:p>
          <w:p>
            <w:pPr>
              <w:pStyle w:val="null3"/>
              <w:ind w:firstLine="480"/>
              <w:jc w:val="both"/>
            </w:pPr>
            <w:r>
              <w:rPr>
                <w:rFonts w:ascii="仿宋_GB2312" w:hAnsi="仿宋_GB2312" w:cs="仿宋_GB2312" w:eastAsia="仿宋_GB2312"/>
                <w:sz w:val="24"/>
                <w:color w:val="000000"/>
              </w:rPr>
              <w:t>11.5.3 TW3法支持RUS（R系列）和C系列评价方法，并出具显示RUS（R系列）骨龄和C系列骨龄分析结果及影像所见。</w:t>
            </w:r>
          </w:p>
          <w:p>
            <w:pPr>
              <w:pStyle w:val="null3"/>
              <w:ind w:firstLine="480"/>
              <w:jc w:val="both"/>
            </w:pPr>
            <w:r>
              <w:rPr>
                <w:rFonts w:ascii="仿宋_GB2312" w:hAnsi="仿宋_GB2312" w:cs="仿宋_GB2312" w:eastAsia="仿宋_GB2312"/>
                <w:sz w:val="24"/>
                <w:color w:val="000000"/>
              </w:rPr>
              <w:t>11.5.4 骨密度报告功能：应提供测试结果所有页面的副本。测试结果既可显示在显示器上并可</w:t>
            </w:r>
            <w:r>
              <w:rPr>
                <w:rFonts w:ascii="仿宋_GB2312" w:hAnsi="仿宋_GB2312" w:cs="仿宋_GB2312" w:eastAsia="仿宋_GB2312"/>
                <w:sz w:val="24"/>
                <w:color w:val="000000"/>
              </w:rPr>
              <w:t>打</w:t>
            </w:r>
            <w:r>
              <w:rPr>
                <w:rFonts w:ascii="仿宋_GB2312" w:hAnsi="仿宋_GB2312" w:cs="仿宋_GB2312" w:eastAsia="仿宋_GB2312"/>
                <w:sz w:val="24"/>
                <w:color w:val="000000"/>
              </w:rPr>
              <w:t>印。测量值与计算值应包括，骨密度、面积、</w:t>
            </w:r>
            <w:r>
              <w:rPr>
                <w:rFonts w:ascii="仿宋_GB2312" w:hAnsi="仿宋_GB2312" w:cs="仿宋_GB2312" w:eastAsia="仿宋_GB2312"/>
                <w:sz w:val="24"/>
                <w:color w:val="000000"/>
              </w:rPr>
              <w:t>T-值、Z-值。</w:t>
            </w:r>
          </w:p>
          <w:p>
            <w:pPr>
              <w:pStyle w:val="null3"/>
              <w:ind w:firstLine="480"/>
              <w:jc w:val="both"/>
            </w:pPr>
            <w:r>
              <w:rPr>
                <w:rFonts w:ascii="仿宋_GB2312" w:hAnsi="仿宋_GB2312" w:cs="仿宋_GB2312" w:eastAsia="仿宋_GB2312"/>
                <w:sz w:val="24"/>
                <w:color w:val="000000"/>
              </w:rPr>
              <w:t>11.5.5 骨龄报告功能：支持依据骨龄评测标准，自动生成报告，报告至少包括骨骺等级和骨龄等信息。</w:t>
            </w:r>
          </w:p>
          <w:p>
            <w:pPr>
              <w:pStyle w:val="null3"/>
              <w:ind w:firstLine="480"/>
              <w:jc w:val="both"/>
            </w:pPr>
            <w:r>
              <w:rPr>
                <w:rFonts w:ascii="仿宋_GB2312" w:hAnsi="仿宋_GB2312" w:cs="仿宋_GB2312" w:eastAsia="仿宋_GB2312"/>
                <w:sz w:val="24"/>
                <w:color w:val="000000"/>
              </w:rPr>
              <w:t>▲12.其他要求：</w:t>
            </w:r>
          </w:p>
          <w:p>
            <w:pPr>
              <w:pStyle w:val="null3"/>
              <w:ind w:firstLine="480"/>
              <w:jc w:val="both"/>
            </w:pPr>
            <w:r>
              <w:rPr>
                <w:rFonts w:ascii="仿宋_GB2312" w:hAnsi="仿宋_GB2312" w:cs="仿宋_GB2312" w:eastAsia="仿宋_GB2312"/>
                <w:sz w:val="24"/>
                <w:color w:val="000000"/>
              </w:rPr>
              <w:t>负责承担与医院信息系统相连接，费用包含在设备总价内。</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、服务要求：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1）质保期内接到报修，≤2小时电话响应，≤12小时到现场，更换配件若超过72小时，无条件提供备用机。</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2）提供操作人员现场培训</w:t>
            </w:r>
          </w:p>
          <w:p>
            <w:pPr>
              <w:pStyle w:val="null3"/>
              <w:jc w:val="both"/>
            </w:pPr>
            <w:r>
              <w:rPr>
                <w:rFonts w:ascii="仿宋_GB2312" w:hAnsi="仿宋_GB2312" w:cs="仿宋_GB2312" w:eastAsia="仿宋_GB2312"/>
                <w:sz w:val="24"/>
                <w:b/>
              </w:rPr>
              <w:t>五</w:t>
            </w:r>
            <w:r>
              <w:rPr>
                <w:rFonts w:ascii="仿宋_GB2312" w:hAnsi="仿宋_GB2312" w:cs="仿宋_GB2312" w:eastAsia="仿宋_GB2312"/>
                <w:sz w:val="24"/>
                <w:b/>
              </w:rPr>
              <w:t>、商务要求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color w:val="000000"/>
              </w:rPr>
              <w:t>1、交货期：自合同签订之日起30个日历日完成全部项目内容，并交付采购人验收合格。</w:t>
            </w:r>
          </w:p>
          <w:p>
            <w:pPr>
              <w:pStyle w:val="null3"/>
              <w:ind w:firstLine="480"/>
              <w:jc w:val="both"/>
            </w:pPr>
            <w:r>
              <w:rPr>
                <w:rFonts w:ascii="仿宋_GB2312" w:hAnsi="仿宋_GB2312" w:cs="仿宋_GB2312" w:eastAsia="仿宋_GB2312"/>
                <w:sz w:val="24"/>
                <w:color w:val="000000"/>
              </w:rPr>
              <w:t>2、款项结算：</w:t>
            </w:r>
          </w:p>
          <w:p>
            <w:pPr>
              <w:pStyle w:val="null3"/>
              <w:ind w:firstLine="480"/>
              <w:jc w:val="both"/>
            </w:pPr>
            <w:r>
              <w:rPr>
                <w:rFonts w:ascii="仿宋_GB2312" w:hAnsi="仿宋_GB2312" w:cs="仿宋_GB2312" w:eastAsia="仿宋_GB2312"/>
                <w:sz w:val="24"/>
                <w:color w:val="000000"/>
              </w:rPr>
              <w:t>一、生产企业为中小型企业（需提供中小型企业说明函），支付方式如下：</w:t>
            </w:r>
          </w:p>
          <w:p>
            <w:pPr>
              <w:pStyle w:val="null3"/>
              <w:ind w:firstLine="480"/>
              <w:jc w:val="both"/>
            </w:pPr>
            <w:r>
              <w:rPr>
                <w:rFonts w:ascii="仿宋_GB2312" w:hAnsi="仿宋_GB2312" w:cs="仿宋_GB2312" w:eastAsia="仿宋_GB2312"/>
                <w:sz w:val="24"/>
                <w:color w:val="000000"/>
              </w:rPr>
              <w:t>1、合同签订后30天内，甲方向乙方支付合同总价款40%作为预付款，乙方需提供相关收款依据。以人工投入为主、实行按月定期结算支付款项的项目，不约定预付款。</w:t>
            </w:r>
          </w:p>
          <w:p>
            <w:pPr>
              <w:pStyle w:val="null3"/>
              <w:ind w:firstLine="480"/>
              <w:jc w:val="both"/>
            </w:pPr>
            <w:r>
              <w:rPr>
                <w:rFonts w:ascii="仿宋_GB2312" w:hAnsi="仿宋_GB2312" w:cs="仿宋_GB2312" w:eastAsia="仿宋_GB2312"/>
                <w:sz w:val="24"/>
                <w:color w:val="000000"/>
              </w:rPr>
              <w:t>2、乙方须按其投标文件中响应的交货期按时交货并提供全额合规发票保证“货票同行”，到达甲方指定地点，安装、调试完毕并验收合格后，甲方30天内支付合同总价款的55%。</w:t>
            </w:r>
          </w:p>
          <w:p>
            <w:pPr>
              <w:pStyle w:val="null3"/>
              <w:ind w:firstLine="480"/>
              <w:jc w:val="both"/>
            </w:pPr>
            <w:r>
              <w:rPr>
                <w:rFonts w:ascii="仿宋_GB2312" w:hAnsi="仿宋_GB2312" w:cs="仿宋_GB2312" w:eastAsia="仿宋_GB2312"/>
                <w:sz w:val="24"/>
                <w:color w:val="000000"/>
              </w:rPr>
              <w:t>3、维保期期满后，乙方需全面对产品进行全面维护保养，保证正常使用。甲方30天内支付合同总价款的5%。</w:t>
            </w:r>
          </w:p>
          <w:p>
            <w:pPr>
              <w:pStyle w:val="null3"/>
              <w:ind w:firstLine="480"/>
              <w:jc w:val="both"/>
            </w:pPr>
            <w:r>
              <w:rPr>
                <w:rFonts w:ascii="仿宋_GB2312" w:hAnsi="仿宋_GB2312" w:cs="仿宋_GB2312" w:eastAsia="仿宋_GB2312"/>
                <w:sz w:val="24"/>
                <w:color w:val="000000"/>
              </w:rPr>
              <w:t>二、乙方为非中小企业，支付方式如下：</w:t>
            </w:r>
          </w:p>
          <w:p>
            <w:pPr>
              <w:pStyle w:val="null3"/>
              <w:ind w:firstLine="480"/>
              <w:jc w:val="both"/>
            </w:pPr>
            <w:r>
              <w:rPr>
                <w:rFonts w:ascii="仿宋_GB2312" w:hAnsi="仿宋_GB2312" w:cs="仿宋_GB2312" w:eastAsia="仿宋_GB2312"/>
                <w:sz w:val="24"/>
                <w:color w:val="000000"/>
              </w:rPr>
              <w:t>1、合同签订后，乙方须按其投标文件中响应的交货期按时交货并提供全额合规发票保证“货票同行”，到达甲方指定地点，安装、调试完毕并验收合格后，甲方30天内支付合同总价款的95%。</w:t>
            </w:r>
          </w:p>
          <w:p>
            <w:pPr>
              <w:pStyle w:val="null3"/>
              <w:ind w:firstLine="480"/>
              <w:jc w:val="both"/>
            </w:pPr>
            <w:r>
              <w:rPr>
                <w:rFonts w:ascii="仿宋_GB2312" w:hAnsi="仿宋_GB2312" w:cs="仿宋_GB2312" w:eastAsia="仿宋_GB2312"/>
                <w:sz w:val="24"/>
                <w:color w:val="000000"/>
              </w:rPr>
              <w:t>2、维保期期满后，乙方需全面对产品进行全面维护保养，保证正常使用。甲方30天内支付合同总价款的5%。</w:t>
            </w:r>
          </w:p>
          <w:p>
            <w:pPr>
              <w:pStyle w:val="null3"/>
              <w:jc w:val="both"/>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w:t>
            </w:r>
            <w:r>
              <w:rPr>
                <w:rFonts w:ascii="仿宋_GB2312" w:hAnsi="仿宋_GB2312" w:cs="仿宋_GB2312" w:eastAsia="仿宋_GB2312"/>
                <w:sz w:val="24"/>
                <w:b/>
              </w:rPr>
              <w:t>其他要求</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生产厂家：企业营业执照、医疗器械生产许可证、医疗器械注册证（含医疗器械产品注册登记表及相关附件、备案凭证等）、产品彩页；</w:t>
            </w:r>
          </w:p>
          <w:p>
            <w:pPr>
              <w:pStyle w:val="null3"/>
              <w:ind w:firstLine="240"/>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代理商：企业营业执照、医疗器械经营许可证、厂家医疗器械生产许可证、医疗器械注册证或备案凭证或医疗器械经营备案凭证、法定代表人授权书及被授权人身份证件原件（法定代表人直接投标只须提交其身份证件原件）；</w:t>
            </w:r>
          </w:p>
          <w:p>
            <w:pPr>
              <w:pStyle w:val="null3"/>
              <w:ind w:firstLine="240"/>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质量验收标准或规范：</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1）合同约定的质量和技术要求。</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2）货物原产地证明和出厂质量检验合格证书以及质量保修证书等和产品相关的证书。</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3）乙方应向甲方提供设备性能的测试程序、测试手段和测试标准。</w:t>
            </w:r>
          </w:p>
          <w:p>
            <w:pPr>
              <w:pStyle w:val="null3"/>
              <w:ind w:firstLine="72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4）安装调试、技术培训完成后，填写货物验收单。</w:t>
            </w:r>
          </w:p>
          <w:p>
            <w:pPr>
              <w:pStyle w:val="null3"/>
              <w:jc w:val="both"/>
            </w:pPr>
            <w:r>
              <w:rPr>
                <w:rFonts w:ascii="仿宋_GB2312" w:hAnsi="仿宋_GB2312" w:cs="仿宋_GB2312" w:eastAsia="仿宋_GB2312"/>
                <w:sz w:val="24"/>
                <w:color w:val="000000"/>
              </w:rPr>
              <w:t xml:space="preserve"> （四）</w:t>
            </w:r>
            <w:r>
              <w:rPr>
                <w:rFonts w:ascii="仿宋_GB2312" w:hAnsi="仿宋_GB2312" w:cs="仿宋_GB2312" w:eastAsia="仿宋_GB2312"/>
                <w:sz w:val="24"/>
                <w:color w:val="000000"/>
              </w:rPr>
              <w:t>产品质保期：自验收合格后整机质保三年</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西安市儿童医院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维保期期满后，乙方需全面对产品进行全面维护保养，保证正常使用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（1）合同约定的质量和技术要求。 （2）货物原产地证明和出厂质量检验合格证书以及质量保修证书等和产品相关的证书。 （3）乙方应向甲方提供设备性能的测试程序、测试手段和测试标准。 （4）安装调试、技术培训完成后，填写货物验收单。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自验收合格后整机质保三年。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因履行本合同引起的或与本合同有关的争议，甲、乙双方应首先通过友好协商解决，如果协商不成，向甲方所在地有管辖权的人民法院提起诉讼解决争议：</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（1）本项目付款方式分为两种，按成交单位企业类型选择其一； （2）成交单位在领取成交通知书时，须提供一正两副响应文件。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提供统一社会信用代码的营业执照或其他组织经营的合法凭证或自然人的提供身份证明文件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磋商时间前6个月内任一个月（磋商截止时间当月不计入）的社会保障资金缴存单据或社保机构开具的社会保险参保缴费情况证明。成立时间至提交响应文件截止时间不足一个月或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存的磋商时间前6个月内任一个月（磋商截止时间当月不计入）的的纳税证明或完税证明，纳税证明或完税证明上应有代收机构或税务机关的公章或业务专用章。依法免税的投标人应提供相关文件证明。成立时间至提交响应文件截止时间不足一个月或依法不需要缴纳社会保障资金的投标人应提供相关文件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的资信证明或财政部门认可的政府采购专业担保机构出具的担保函，以上形式的证明资料提供任何一种即可。(2022年10月1日后出具的审计报告应当经过注册会计师行业统一监管平台备案赋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（1）出具履行合同所必需的设备和专业技术能力的书面声明；（2）出具参加本次政府采购活动无重大违法记录的书面声明。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非法定代表人参加投标的，须提供法定代表人投权委托书及被授权人身份证原件；法定代表人参加投标时,只须提供法定代表人身份证原件。</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代理商应提供《医疗器械经营许可证》、厂家《医疗器械生产许可证》、《医疗器械注册证》或备案凭证或《医疗器械经营备案凭证》，供应商为制造厂商的应提供《医疗器械生产许可证》、《医疗器械注册证》（含医疗器械产品注册登记表及相关附件、备案凭证等）、产品彩页。</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联合体声明</w:t>
            </w:r>
          </w:p>
        </w:tc>
        <w:tc>
          <w:tcPr>
            <w:tcW w:type="dxa" w:w="3322"/>
          </w:tcPr>
          <w:p>
            <w:pPr>
              <w:pStyle w:val="null3"/>
            </w:pPr>
            <w:r>
              <w:rPr>
                <w:rFonts w:ascii="仿宋_GB2312" w:hAnsi="仿宋_GB2312" w:cs="仿宋_GB2312" w:eastAsia="仿宋_GB2312"/>
              </w:rPr>
              <w:t>本项目不接受联合体投标。（提供联合体声明）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偏离表 中小企业声明函 企业基本情况 报价表 投标人认为需说明的其他内容 响应文件封面 资格证明文件 类似项目业绩 残疾人福利性单位声明函 技术部分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（1）磋商报价符合唯一性要求：（2）磋商报价表填写符合要求；（3）计量单位、报价货币均符合磋商文件要求；（4）未超出采购预算或磋商文件规定的最高限价。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偏离表 中小企业声明函 企业基本情况 报价表 投标人认为需说明的其他内容 响应文件封面 资格证明文件 类似项目业绩 残疾人福利性单位声明函 技术部分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响应产品技术参数清楚、明确，完全满足采购要求得20分。▲项每负偏离一项扣5分，非▲项每有一项不满足的扣1分，扣完为止； 供应商需提供投标设备（产品）参数、规格型号、性能等技术说明资料。证明材料不限于检测报告、试验报告、产品彩页、厂家出具的技术证明文件、功能截图等，证明材料须呈现相应功能。若未体现，按负偏离处理。供应商自行承担因材料提供不全导致的技术参数评审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产品功能</w:t>
            </w:r>
          </w:p>
        </w:tc>
        <w:tc>
          <w:tcPr>
            <w:tcW w:type="dxa" w:w="2492"/>
          </w:tcPr>
          <w:p>
            <w:pPr>
              <w:pStyle w:val="null3"/>
            </w:pPr>
            <w:r>
              <w:rPr>
                <w:rFonts w:ascii="仿宋_GB2312" w:hAnsi="仿宋_GB2312" w:cs="仿宋_GB2312" w:eastAsia="仿宋_GB2312"/>
              </w:rPr>
              <w:t>产品配置齐全、选型合理、规格描述详细、技术工艺先进，各部分功能配置合理实用、性能稳定，能够实现建设目标，满足项目需求，得5分；产品配置齐全、选型较合理、规格描述较详细，各部分功能配置较合理，能够实现建设目标，得3分；产品配置齐全、选型不够合理、规格描述不够详细，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供货、配送、安装、产品测试验收方案</w:t>
            </w:r>
          </w:p>
        </w:tc>
        <w:tc>
          <w:tcPr>
            <w:tcW w:type="dxa" w:w="2492"/>
          </w:tcPr>
          <w:p>
            <w:pPr>
              <w:pStyle w:val="null3"/>
            </w:pPr>
            <w:r>
              <w:rPr>
                <w:rFonts w:ascii="仿宋_GB2312" w:hAnsi="仿宋_GB2312" w:cs="仿宋_GB2312" w:eastAsia="仿宋_GB2312"/>
              </w:rPr>
              <w:t>提供针对本项目的供货、配送、安装、调试方案。 方案全面完整，针对性强，合理可行、可操作性强，完全满足项目实际需求，得5分；方案较全面完整，针对性较强，合理可行、可操作性较强，满足项目实际需求得3分；方案不够全面完整，没有针对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产品测试、验收措施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10分；措施内容能够针对本项目编制，符合项目实际情况及实施要求，内容涵盖角度基本全面，得7分；具有措施内容，措施内容涵盖角度不全面具备一定可行性，不具备针对性，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进度计划及人员配备</w:t>
            </w:r>
          </w:p>
        </w:tc>
        <w:tc>
          <w:tcPr>
            <w:tcW w:type="dxa" w:w="2492"/>
          </w:tcPr>
          <w:p>
            <w:pPr>
              <w:pStyle w:val="null3"/>
            </w:pPr>
            <w:r>
              <w:rPr>
                <w:rFonts w:ascii="仿宋_GB2312" w:hAnsi="仿宋_GB2312" w:cs="仿宋_GB2312" w:eastAsia="仿宋_GB2312"/>
              </w:rPr>
              <w:t>供应商提供明确具体的供货时间、供货进度计划、到货计划、投入的技术人员专业情况、人员配置情况等方面内容，人员配备具体可行充分满足磋商文件要求，交货时间短于文件要求的得10分；供应商提供的计划及人员配备情况内容基本、进度计划略有拖拉、人员配备略有缺失，基本能够满足需求的得7分；供应商提供的计划及人员配备内容缺失严重，计划内容空洞不符合实际情况人员配备情况难以胜任本项目的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提供可行的售后服务计划、售后服务措施、服务承诺等内容。售后服务计划、售后服务措施、服务承诺全面详细，合理可行、可操作性强，完全满足项目实施需求，得5分；售后服务计划、售后服务措施、服务承诺较详细，较合理可行、可操作性较强，满足项目实施需求，得3分；售后服务计划、售后服务措施、服务承诺不够全面详细，可操作性不强，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投标人制定完善的培训服务方案，保证使用单位能熟练操作和正常使用。培训服务方案详细可行，得5分；提供培训服务方案，方案内容基本合理，针对性不强，缺乏可操作性，得3分；提供培训服务方案，方案内容不全，不具备可行性，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提供设备使用期间可能会发生的故障，及故障发生后的响应时间及补救方案。方案中风险故障考虑全面，故障发生后响应时间及时、补救方案合理可行、可操作性强，完全可以保障医院设备的使用需求，得5分；方案中风险故障考虑较全面，故障发生后响应时间及时、补救方案较为合理可行、可操作性较强，得3分；方案中风险故障考虑不够全面，故障发生后响应时间不及时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供应商单位提供自2022年10月1日 以来（以合同签订时间为准）类似项目业绩，每提供1份得 2.5分，满分5分。 注：须提供合同 （协议），以 合同（协议）签订时间为准。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供应商磋商报价满足磋商文件要求，且最低价为评审基准价，其价格分为满分。报价得分=（评审基准价／磋商报价）×权值×100。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小微企业、残疾人福利性单位、监狱企业凡提供相关资格证明均享受10%价格折扣。</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详见附件：偏离表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详见附件：企业基本情况</w:t>
      </w:r>
    </w:p>
    <w:p>
      <w:pPr>
        <w:pStyle w:val="null3"/>
        <w:ind w:firstLine="960"/>
      </w:pPr>
      <w:r>
        <w:rPr>
          <w:rFonts w:ascii="仿宋_GB2312" w:hAnsi="仿宋_GB2312" w:cs="仿宋_GB2312" w:eastAsia="仿宋_GB2312"/>
        </w:rPr>
        <w:t>详见附件：技术部分</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详见附件：投标人认为需说明的其他内容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