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版本号：JD-SXXA-202500920251017001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西安市城市更新耦合平台初步设计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JD-SXXA-2025009</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西安久东信息科技有限公司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西安久东信息科技有限公司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西安市城市更新耦合平台初步设计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JD-SXXA-2025009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西安市城市更新耦合平台初步设计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我国城市发展已经进入注重存量更新阶段。经过40多年的快速发展，2023 年我国常住人口城镇化率达66.16%,已经进入了城市化较快发展的中后期，我国城市发展中社会结构、生产生活方式和治理体系发生重大变化，主要表现为两个重要特征，一是由大规模增量建设转为存量提质改造和增量结构调整并重，二是从“有没有”转向“好不好”。中央决定开展城市更新行动，推动城市转型发展、高质量发展。城市更新是对城市中已经不适应现代化城市社会生活的地区进行必要的、有计划的改造和重建，可以优化城市空间布局，提升城市功能，改善居民生活环境，增强城市竞争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或其投标前三个月内基本存款账户开户银行出具的资信证明及开户银行打印的含有企业基本存款账户编号的《基本存款账户信息》。</w:t>
      </w:r>
    </w:p>
    <w:p>
      <w:pPr>
        <w:pStyle w:val="null3"/>
      </w:pPr>
      <w:r>
        <w:rPr>
          <w:rFonts w:ascii="仿宋_GB2312" w:hAnsi="仿宋_GB2312" w:cs="仿宋_GB2312" w:eastAsia="仿宋_GB2312"/>
        </w:rPr>
        <w:t>3、税收缴纳证明：提供开标前6个月至今已缴纳的至少一个月的纳税凭证或完税证明（任意税种），完税证明上应有代收机构或税务机关的公章；依法免税的供应商应提供相关文件证明。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4、社会保障资金缴纳证明：提供开标前6个月至今已缴存的至少一个月的社会保障资金缴存单据或社保机构开具的社会保险参保缴费情况证明；依法不需要缴纳社会保障资金的供应商应提供相关文件证明。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5、无重大违法记录声明：参加政府采购活动前3年内，在经营活动中没有重大违法记录。</w:t>
      </w:r>
    </w:p>
    <w:p>
      <w:pPr>
        <w:pStyle w:val="null3"/>
      </w:pPr>
      <w:r>
        <w:rPr>
          <w:rFonts w:ascii="仿宋_GB2312" w:hAnsi="仿宋_GB2312" w:cs="仿宋_GB2312" w:eastAsia="仿宋_GB2312"/>
        </w:rPr>
        <w:t>6、供应商信誉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7、供应商履约能力：供应商具备履行合同所必需的设备和专业技术能力。</w:t>
      </w:r>
    </w:p>
    <w:p>
      <w:pPr>
        <w:pStyle w:val="null3"/>
      </w:pPr>
      <w:r>
        <w:rPr>
          <w:rFonts w:ascii="仿宋_GB2312" w:hAnsi="仿宋_GB2312" w:cs="仿宋_GB2312" w:eastAsia="仿宋_GB2312"/>
        </w:rPr>
        <w:t>8、供应商资质要求：供应商须具有国家住房和城乡建设部颁发的工程设计综合甲级或电子通信广电行业（有线通信、无线通信）专业设计甲级资质或电子通信广电行业（通信工程）设计甲级资质。</w:t>
      </w:r>
    </w:p>
    <w:p>
      <w:pPr>
        <w:pStyle w:val="null3"/>
      </w:pPr>
      <w:r>
        <w:rPr>
          <w:rFonts w:ascii="仿宋_GB2312" w:hAnsi="仿宋_GB2312" w:cs="仿宋_GB2312" w:eastAsia="仿宋_GB2312"/>
        </w:rPr>
        <w:t>9、授权书：法定代表人直接参加投标的，须出具法定代表人身份证明。授权代表参加投标的，须出具法定代表人授权书，并附法定代表人和被授权人身份证明，及被授权人社保缴纳证明。</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11、控股、管理关系：单位负责人为同一人或者存在直接控股、管理关系的不同供应商不得参加统一合同项下的政府采购活动。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西安久东信息科技有限公司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陕西省西安市经济技术开发区海博广场别墅区东二202室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采购包1：350,446.00元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代理服务费收费标准：参照原国家计委计价格【2002】1980号文和国家发改委发改办价格【2011】534号文的计算方法向成交人收取 成交供应商的招标代理服务费交纳信息 ： 银行户名：西安久东信息科技有限公司 开户银行：招商银行股份有限公司西安西影路支行 银行账号：129912259110201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西安久东信息科技有限公司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西安久东信息科技有限公司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西安久东信息科技有限公司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设计方案提交甲方后，甲方组织相关专家评审。设计单位根据专家评审意见 进行修改，修改后按程序报送数据局进行方案评审并通过后，按合同约定再进行 全部结算及支付。</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联系人：李瑞</w:t>
      </w:r>
    </w:p>
    <w:p>
      <w:pPr>
        <w:pStyle w:val="null3"/>
      </w:pPr>
      <w:r>
        <w:rPr>
          <w:rFonts w:ascii="仿宋_GB2312" w:hAnsi="仿宋_GB2312" w:cs="仿宋_GB2312" w:eastAsia="仿宋_GB2312"/>
        </w:rPr>
        <w:t>联系电话：029-83225855</w:t>
      </w:r>
    </w:p>
    <w:p>
      <w:pPr>
        <w:pStyle w:val="null3"/>
      </w:pPr>
      <w:r>
        <w:rPr>
          <w:rFonts w:ascii="仿宋_GB2312" w:hAnsi="仿宋_GB2312" w:cs="仿宋_GB2312" w:eastAsia="仿宋_GB2312"/>
        </w:rPr>
        <w:t>地址：陕西省西安市经济技术开发区海博广场别墅区东二</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我国城市发展已经进入注重存量更新阶段。经过40多年的快速发展，2023 年我国常住人口城镇化率达66.16%,已经进入了城市化较快发展的中后期，我国城市发展中社会结构、生产生活方式和治理体系发生重大变化，主要表现为两个重要特征，一是由大规模增量建设转为存量提质改造和增量结构调整并重，二是从“有没有”转向“好不好”。中央决定开展城市更新行动，推动城市转型发展、高质量发展。城市更新是对城市中已经不适应现代化城市社会生活的地区进行必要的、有计划的改造和重建，可以优化城市空间布局，提升城市功能，改善居民生活环境，增强城市竞争力。2020年10月29日，党的十九届五中全会审议通过的《中共中央关于制定国民经济和社会发展第十四个五年规划和二○三五年远景目标的建议》明确提出加快转变城市发展方式，实施城市更新行动，推动城市空间结构优化和品质提升，确立了城市更新在国家发展战略中的重要地位。党关于“实施城市更新行动”、党的二十届三中全会关于“建立可持续的城市更新模式和政策法规”,相继对城市更新工作作出了战略部署。 西安市城市更新行动开展较早，是全国城市更新改革实践的先行者。2021 年，西安入选住建部首批21个城市更新试点城市，开启制度创新与模式探索；2024年，西安入选全国首批15个城市更新示范支持城市，获得国家级定额资金支持，重点投向老旧片区有机更新、地下管网韧性升级及市政基础设施补短板三大攻坚领域。在“中国式现代化”战略指引下，西安将城市更新确立为驱动城市能级跃升的战略支点，通过“内涵式发展”重塑城市肌理，以“存量资源活化” 激发空间价值，构建起“全周期管理+片区化更新”的示范引领模式，为特大城市转型升级提供西安样本。 2024年下半年，西安市提出建设城市更新耦合平台，作为探索全市城市更新改革的信息化中枢。概念的提出，是西安市深入贯彻总书记关于网络强国、数字中国的重要论述，基于当前城市发展的多重需求和挑战，旨在充分利用 西安市在建设的“地下一张网”、“地面一张图”数据库、实景三维数据和当前西安市各类数据库和信息系统，打破部门之间的信息壁垒，将数据进行空间耦合和功能耦合，解决地面和地下各类空间数据在空间和功能上的匹配耦合，实现对城市更新项目从谋划、决策到实施监管的全过程信息化管理，为政府决策提供科学依据，提高城市更新项目的审批效率和监管水平，推动城市更新工作的数字化、智能化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350,446.00</w:t>
      </w:r>
    </w:p>
    <w:p>
      <w:pPr>
        <w:pStyle w:val="null3"/>
      </w:pPr>
      <w:r>
        <w:rPr>
          <w:rFonts w:ascii="仿宋_GB2312" w:hAnsi="仿宋_GB2312" w:cs="仿宋_GB2312" w:eastAsia="仿宋_GB2312"/>
        </w:rPr>
        <w:t>采购包最高限价（元）: 350,446.00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西安市城市更新耦合平台初步设计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350,446.00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标的名称：西安市城市更新耦合平台初步设计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FF"/>
              </w:rPr>
              <w:t>一、项目背景及需求。</w:t>
            </w:r>
          </w:p>
          <w:p>
            <w:pPr>
              <w:pStyle w:val="null3"/>
              <w:ind w:firstLine="480"/>
              <w:jc w:val="left"/>
            </w:pPr>
            <w:r>
              <w:rPr>
                <w:rFonts w:ascii="仿宋_GB2312" w:hAnsi="仿宋_GB2312" w:cs="仿宋_GB2312" w:eastAsia="仿宋_GB2312"/>
                <w:sz w:val="24"/>
                <w:color w:val="0000FF"/>
              </w:rPr>
              <w:t>我国城市发展已经进入注重存量更新阶段。经过40多年的快速发展，2023 年我国常住人口城镇化率达66.16%,已经进入了城市化较快发展的中后期，我国  城市发展中社会结构、生产生活方式和治理体系发生重大变化，主要表现为两个重要特征，一是由大规模增量建设转为存量提质改造和增量结构调整并重，二是从“有没有”转向“好不好”。中央决定开展城市更新行动，推动城市转型发展、高质量发展。城市更新是对城市中已经不适应现代化城市社会生活的地区进行必要的、有计划的改造和重建，可以优化城市空间布局，提升城市功能，改善居民生活环境，增强城市竞争力。2020年10月29日，党的十九届五中全会审议通过的《中共中央关于制定国民经济和社会发展第十四个五年规划和二○三五年远景目标的建议》明确提出加快转变城市发展方式，实施城市更新行动，推动城市空间结构优化和品质提升，确立了城市更新在国家发展战略中的重要地位。党关于“实施城市更新行动”、党关于“建立可持续的城市更新模式和政策法规”,相继对城市更新工作作出了战略部署。</w:t>
            </w:r>
          </w:p>
          <w:p>
            <w:pPr>
              <w:pStyle w:val="null3"/>
              <w:ind w:firstLine="480"/>
              <w:jc w:val="left"/>
            </w:pPr>
            <w:r>
              <w:rPr>
                <w:rFonts w:ascii="仿宋_GB2312" w:hAnsi="仿宋_GB2312" w:cs="仿宋_GB2312" w:eastAsia="仿宋_GB2312"/>
                <w:sz w:val="24"/>
                <w:color w:val="0000FF"/>
              </w:rPr>
              <w:t>西安市城市更新行动开展较早，是全国城市更新改革实践的先行者。2021 年，西安入选住建部首批21个城市更新试点城市，开启制度创新与模式探索；</w:t>
            </w:r>
          </w:p>
          <w:p>
            <w:pPr>
              <w:pStyle w:val="null3"/>
              <w:jc w:val="left"/>
            </w:pPr>
            <w:r>
              <w:rPr>
                <w:rFonts w:ascii="仿宋_GB2312" w:hAnsi="仿宋_GB2312" w:cs="仿宋_GB2312" w:eastAsia="仿宋_GB2312"/>
                <w:sz w:val="24"/>
                <w:color w:val="0000FF"/>
              </w:rPr>
              <w:t>2024年，西安入选全国首批15个城市更新示范支持城市，获得国家级定额资金  支持，重点投向老旧片区有机更新、地下管网韧性升级及市政基础设施补短板三大攻坚领域。在“中国式现代化”战略指引下，西安将城市更新确立为驱动城市能级跃升的战略支点，通过“内涵式发展”重塑城市肌理，以“存量资源活化” 激发空间价值，构建起“全周期管理+片区化更新”的示范引领模式，为特大城市转型升级提供西安样本。</w:t>
            </w:r>
          </w:p>
          <w:p>
            <w:pPr>
              <w:pStyle w:val="null3"/>
              <w:ind w:firstLine="480"/>
              <w:jc w:val="left"/>
            </w:pPr>
            <w:r>
              <w:rPr>
                <w:rFonts w:ascii="仿宋_GB2312" w:hAnsi="仿宋_GB2312" w:cs="仿宋_GB2312" w:eastAsia="仿宋_GB2312"/>
                <w:sz w:val="24"/>
                <w:color w:val="0000FF"/>
              </w:rPr>
              <w:t>2024年下半年，西安市提出建设城市更新耦合平台，作为探索全市城市更 新改革的信息化中枢。概念的提出，是西安市深入贯彻总书记关于网络强 国、数字中国的重要论述，基于当前城市发展的多重需求和挑战，旨在充分利用 西安市在建设的“地下一张网”、“地面一张图”数据库、实景三维数据和当前西安市各类数据库和信息系统，打破部门之间的信息壁垒，将数据进行空间耦合和功能耦合，解决地面和地下各类空间数据在空间和功能上的匹配耦合，实现对城市更新项目从谋划、决策到实施监管的全过程信息化管理，为政府决策提供科学依据，提高城市更新项目的审批效率和监管水平，推动城市更新工作的数字化、智能化发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FF"/>
              </w:rPr>
              <w:t>二、项目目标。</w:t>
            </w:r>
          </w:p>
          <w:p>
            <w:pPr>
              <w:pStyle w:val="null3"/>
              <w:ind w:firstLine="480"/>
              <w:jc w:val="left"/>
            </w:pPr>
            <w:r>
              <w:rPr>
                <w:rFonts w:ascii="仿宋_GB2312" w:hAnsi="仿宋_GB2312" w:cs="仿宋_GB2312" w:eastAsia="仿宋_GB2312"/>
                <w:sz w:val="24"/>
                <w:color w:val="0000FF"/>
              </w:rPr>
              <w:t>“耦合”核心含义是描述两个或多个系统、组件或实体之间通过某种机制产 生相互作用或关联关系。本项目首次提出将地下一张网的3类、13项要素和地面一张图的6类26项要素进行耦合。其中地下一张网包括地下管网(燃气、供 热、供水、雨水、污水、中水、电力、通信、综合管廊(沟)),地下空间(人防、地下场站(调蓄池、泵站、净水厂、变电站等)、地下通道),地下轨道包括地铁。地面一张图包括规划(总体规划、专项规划、详细规划),用地(用地功能、土地利用、土地供给、人口；道路包括：基础信息、交通安全、交通管理、交通运输、道路附属、城市家具、园林绿地、管线附属、档案信息、交通运行等), 建筑(建设年代、功能、结构、质量),设施(门站、泵站、调压站等),市政设施和公共服务设施(点位、功能、规模、使用功能)。</w:t>
            </w:r>
          </w:p>
          <w:p>
            <w:pPr>
              <w:pStyle w:val="null3"/>
              <w:ind w:firstLine="480"/>
              <w:jc w:val="left"/>
            </w:pPr>
            <w:r>
              <w:rPr>
                <w:rFonts w:ascii="仿宋_GB2312" w:hAnsi="仿宋_GB2312" w:cs="仿宋_GB2312" w:eastAsia="仿宋_GB2312"/>
                <w:sz w:val="24"/>
                <w:color w:val="0000FF"/>
              </w:rPr>
              <w:t>本项目的“耦合”包括三种类型，一是空间耦合，如在某更新片区或项目的 空间边界内对地上地下数据进行数据耦合。二是功能耦合，如地下管网和地上建 构筑物的功能关联。三是代码耦合，如用建构物和管网、交通等进行代码索引进行关联。通过耦合“地下一张网”、“地面一张图”,汇聚多部门全方位数据，形成一个权威统一的西安市城市更新数据基础，推动基于数据驱动的城市更新项目谋划实施，赋能西安城市更新全流程，建立城市更新全生命周期数字化管理机制，实现更新项目全过程统筹管理和科学决策，确保城市更新工作的有效性和科学性，推动西安城市更新工作向更高水平发展，形成值得向全国推广经验的示范效应。该项目为全市统建项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color w:val="0000FF"/>
              </w:rPr>
              <w:t>三、项目设计内容。</w:t>
            </w:r>
          </w:p>
          <w:p>
            <w:pPr>
              <w:pStyle w:val="null3"/>
              <w:ind w:firstLine="480"/>
              <w:jc w:val="left"/>
            </w:pPr>
            <w:r>
              <w:rPr>
                <w:rFonts w:ascii="仿宋_GB2312" w:hAnsi="仿宋_GB2312" w:cs="仿宋_GB2312" w:eastAsia="仿宋_GB2312"/>
                <w:sz w:val="24"/>
                <w:color w:val="0000FF"/>
              </w:rPr>
              <w:t>本项目主要建设内容如下：</w:t>
            </w:r>
          </w:p>
          <w:p>
            <w:pPr>
              <w:pStyle w:val="null3"/>
              <w:ind w:firstLine="480"/>
              <w:jc w:val="left"/>
            </w:pPr>
            <w:r>
              <w:rPr>
                <w:rFonts w:ascii="仿宋_GB2312" w:hAnsi="仿宋_GB2312" w:cs="仿宋_GB2312" w:eastAsia="仿宋_GB2312"/>
                <w:sz w:val="24"/>
                <w:color w:val="0000FF"/>
              </w:rPr>
              <w:t>(1)硬件设备购置250套智能密码钥匙。</w:t>
            </w:r>
          </w:p>
          <w:p>
            <w:pPr>
              <w:pStyle w:val="null3"/>
              <w:ind w:firstLine="480"/>
              <w:jc w:val="left"/>
            </w:pPr>
            <w:r>
              <w:rPr>
                <w:rFonts w:ascii="仿宋_GB2312" w:hAnsi="仿宋_GB2312" w:cs="仿宋_GB2312" w:eastAsia="仿宋_GB2312"/>
                <w:sz w:val="24"/>
                <w:color w:val="0000FF"/>
              </w:rPr>
              <w:t>(2)成品软件购置部署2套GIS引擎(政务外网和业务专网各一套),包括基础能力、分析能力、可视化与制图、协作与共享、行业专用功能、扩展能力、国产化适配与生态整合，以及250套国密浏览器。</w:t>
            </w:r>
          </w:p>
          <w:p>
            <w:pPr>
              <w:pStyle w:val="null3"/>
              <w:ind w:firstLine="480"/>
              <w:jc w:val="left"/>
            </w:pPr>
            <w:r>
              <w:rPr>
                <w:rFonts w:ascii="仿宋_GB2312" w:hAnsi="仿宋_GB2312" w:cs="仿宋_GB2312" w:eastAsia="仿宋_GB2312"/>
                <w:sz w:val="24"/>
                <w:color w:val="0000FF"/>
              </w:rPr>
              <w:t>(3)定制软件开发新建1套西安市城市更新耦合平台，包括耦合底座、项目谋划系统、智慧决策系统、实施监管系统。</w:t>
            </w:r>
          </w:p>
          <w:p>
            <w:pPr>
              <w:pStyle w:val="null3"/>
              <w:ind w:firstLine="480"/>
              <w:jc w:val="left"/>
            </w:pPr>
            <w:r>
              <w:rPr>
                <w:rFonts w:ascii="仿宋_GB2312" w:hAnsi="仿宋_GB2312" w:cs="仿宋_GB2312" w:eastAsia="仿宋_GB2312"/>
                <w:sz w:val="24"/>
                <w:color w:val="0000FF"/>
              </w:rPr>
              <w:t>(4)数据资源建设及数据治理提供数据调研、数据采集、数据目录梳理、 数据清洗与治理、数据耦合、数据库设计与建库、智能模型训练等服务，最终建 成7个主题库、4个专题库。</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FF"/>
              </w:rPr>
              <w:t>四、设计工作要求。</w:t>
            </w:r>
          </w:p>
          <w:p>
            <w:pPr>
              <w:pStyle w:val="null3"/>
              <w:ind w:firstLine="480"/>
              <w:jc w:val="left"/>
            </w:pPr>
            <w:r>
              <w:rPr>
                <w:rFonts w:ascii="仿宋_GB2312" w:hAnsi="仿宋_GB2312" w:cs="仿宋_GB2312" w:eastAsia="仿宋_GB2312"/>
                <w:sz w:val="24"/>
                <w:color w:val="0000FF"/>
              </w:rPr>
              <w:t>西安市城市更新耦合平台建设项目初步设计编制的服务内容为：按照行业及  上级文件的要求，充分调研分析西安市的现状及业务需求，根据本项目基本要求、 可研报告，并结合自身类似项目经验编制“西安市城市更新耦合平台建设项目” 初步设计。具体内容包括但不限于：</w:t>
            </w:r>
          </w:p>
          <w:p>
            <w:pPr>
              <w:pStyle w:val="null3"/>
              <w:ind w:firstLine="480"/>
              <w:jc w:val="left"/>
            </w:pPr>
            <w:r>
              <w:rPr>
                <w:rFonts w:ascii="仿宋_GB2312" w:hAnsi="仿宋_GB2312" w:cs="仿宋_GB2312" w:eastAsia="仿宋_GB2312"/>
                <w:sz w:val="24"/>
                <w:color w:val="0000FF"/>
              </w:rPr>
              <w:t>(1)项目建设的目标、内容；</w:t>
            </w:r>
          </w:p>
          <w:p>
            <w:pPr>
              <w:pStyle w:val="null3"/>
              <w:ind w:firstLine="480"/>
              <w:jc w:val="left"/>
            </w:pPr>
            <w:r>
              <w:rPr>
                <w:rFonts w:ascii="仿宋_GB2312" w:hAnsi="仿宋_GB2312" w:cs="仿宋_GB2312" w:eastAsia="仿宋_GB2312"/>
                <w:sz w:val="24"/>
                <w:color w:val="0000FF"/>
              </w:rPr>
              <w:t>(2)项目建设的必要性、需求分析；</w:t>
            </w:r>
          </w:p>
          <w:p>
            <w:pPr>
              <w:pStyle w:val="null3"/>
              <w:ind w:firstLine="480"/>
              <w:jc w:val="left"/>
            </w:pPr>
            <w:r>
              <w:rPr>
                <w:rFonts w:ascii="仿宋_GB2312" w:hAnsi="仿宋_GB2312" w:cs="仿宋_GB2312" w:eastAsia="仿宋_GB2312"/>
                <w:sz w:val="24"/>
                <w:color w:val="0000FF"/>
              </w:rPr>
              <w:t>(3)项目建设的设计原则和目标；</w:t>
            </w:r>
          </w:p>
          <w:p>
            <w:pPr>
              <w:pStyle w:val="null3"/>
              <w:ind w:firstLine="480"/>
              <w:jc w:val="left"/>
            </w:pPr>
            <w:r>
              <w:rPr>
                <w:rFonts w:ascii="仿宋_GB2312" w:hAnsi="仿宋_GB2312" w:cs="仿宋_GB2312" w:eastAsia="仿宋_GB2312"/>
                <w:sz w:val="24"/>
                <w:color w:val="0000FF"/>
              </w:rPr>
              <w:t>(4)设计项目总体架构，编绘系统架构图；</w:t>
            </w:r>
          </w:p>
          <w:p>
            <w:pPr>
              <w:pStyle w:val="null3"/>
              <w:ind w:firstLine="480"/>
              <w:jc w:val="left"/>
            </w:pPr>
            <w:r>
              <w:rPr>
                <w:rFonts w:ascii="仿宋_GB2312" w:hAnsi="仿宋_GB2312" w:cs="仿宋_GB2312" w:eastAsia="仿宋_GB2312"/>
                <w:sz w:val="24"/>
                <w:color w:val="0000FF"/>
              </w:rPr>
              <w:t>(5)项目具体建设内容(硬件设备、成品软件、应用软件开发、数据资 源建设服务等)的初步设计方案；</w:t>
            </w:r>
          </w:p>
          <w:p>
            <w:pPr>
              <w:pStyle w:val="null3"/>
              <w:ind w:firstLine="480"/>
              <w:jc w:val="left"/>
            </w:pPr>
            <w:r>
              <w:rPr>
                <w:rFonts w:ascii="仿宋_GB2312" w:hAnsi="仿宋_GB2312" w:cs="仿宋_GB2312" w:eastAsia="仿宋_GB2312"/>
                <w:sz w:val="24"/>
                <w:color w:val="0000FF"/>
              </w:rPr>
              <w:t>(6)项目建设的安全保障体系的设计部署方案；</w:t>
            </w:r>
          </w:p>
          <w:p>
            <w:pPr>
              <w:pStyle w:val="null3"/>
              <w:ind w:firstLine="480"/>
              <w:jc w:val="left"/>
            </w:pPr>
            <w:r>
              <w:rPr>
                <w:rFonts w:ascii="仿宋_GB2312" w:hAnsi="仿宋_GB2312" w:cs="仿宋_GB2312" w:eastAsia="仿宋_GB2312"/>
                <w:sz w:val="24"/>
                <w:color w:val="0000FF"/>
              </w:rPr>
              <w:t>(7)项目建设管理方案；</w:t>
            </w:r>
          </w:p>
          <w:p>
            <w:pPr>
              <w:pStyle w:val="null3"/>
              <w:ind w:firstLine="480"/>
              <w:jc w:val="left"/>
            </w:pPr>
            <w:r>
              <w:rPr>
                <w:rFonts w:ascii="仿宋_GB2312" w:hAnsi="仿宋_GB2312" w:cs="仿宋_GB2312" w:eastAsia="仿宋_GB2312"/>
                <w:sz w:val="24"/>
                <w:color w:val="0000FF"/>
              </w:rPr>
              <w:t>(8)提供合理的项目实施进度计划；</w:t>
            </w:r>
          </w:p>
          <w:p>
            <w:pPr>
              <w:pStyle w:val="null3"/>
              <w:ind w:firstLine="480"/>
              <w:jc w:val="left"/>
            </w:pPr>
            <w:r>
              <w:rPr>
                <w:rFonts w:ascii="仿宋_GB2312" w:hAnsi="仿宋_GB2312" w:cs="仿宋_GB2312" w:eastAsia="仿宋_GB2312"/>
                <w:sz w:val="24"/>
                <w:color w:val="0000FF"/>
              </w:rPr>
              <w:t>(9)项目的重点难点分析及应对措施；</w:t>
            </w:r>
          </w:p>
          <w:p>
            <w:pPr>
              <w:pStyle w:val="null3"/>
              <w:ind w:firstLine="480"/>
              <w:jc w:val="left"/>
            </w:pPr>
            <w:r>
              <w:rPr>
                <w:rFonts w:ascii="仿宋_GB2312" w:hAnsi="仿宋_GB2312" w:cs="仿宋_GB2312" w:eastAsia="仿宋_GB2312"/>
                <w:sz w:val="24"/>
                <w:color w:val="0000FF"/>
              </w:rPr>
              <w:t>(10)根据该项目的特点，对系统建设提出合理、建设性的意见；</w:t>
            </w:r>
          </w:p>
          <w:p>
            <w:pPr>
              <w:pStyle w:val="null3"/>
              <w:ind w:firstLine="480"/>
              <w:jc w:val="left"/>
            </w:pPr>
            <w:r>
              <w:rPr>
                <w:rFonts w:ascii="仿宋_GB2312" w:hAnsi="仿宋_GB2312" w:cs="仿宋_GB2312" w:eastAsia="仿宋_GB2312"/>
                <w:sz w:val="24"/>
                <w:color w:val="0000FF"/>
              </w:rPr>
              <w:t>(11)在项目初步设计过程中，必须及时解决自然资源局提出的有关业务和 技术的咨询问题；</w:t>
            </w:r>
          </w:p>
          <w:p>
            <w:pPr>
              <w:pStyle w:val="null3"/>
              <w:ind w:firstLine="480"/>
              <w:jc w:val="left"/>
            </w:pPr>
            <w:r>
              <w:rPr>
                <w:rFonts w:ascii="仿宋_GB2312" w:hAnsi="仿宋_GB2312" w:cs="仿宋_GB2312" w:eastAsia="仿宋_GB2312"/>
                <w:sz w:val="24"/>
                <w:color w:val="0000FF"/>
              </w:rPr>
              <w:t>(12)接受自然资源局的监督和检查，根据自然资源局需要定期汇报工作进 展。</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FF"/>
              </w:rPr>
              <w:t>五、编制依据。</w:t>
            </w:r>
          </w:p>
          <w:p>
            <w:pPr>
              <w:pStyle w:val="null3"/>
              <w:ind w:firstLine="480"/>
              <w:jc w:val="left"/>
            </w:pPr>
            <w:r>
              <w:rPr>
                <w:rFonts w:ascii="仿宋_GB2312" w:hAnsi="仿宋_GB2312" w:cs="仿宋_GB2312" w:eastAsia="仿宋_GB2312"/>
                <w:sz w:val="24"/>
                <w:color w:val="0000FF"/>
              </w:rPr>
              <w:t>(1)《中共中央关于制定国民经济和社会发展第十四个五年规划和二O 三 五年远景目标的建议》;</w:t>
            </w:r>
          </w:p>
          <w:p>
            <w:pPr>
              <w:pStyle w:val="null3"/>
              <w:ind w:firstLine="480"/>
              <w:jc w:val="left"/>
            </w:pPr>
            <w:r>
              <w:rPr>
                <w:rFonts w:ascii="仿宋_GB2312" w:hAnsi="仿宋_GB2312" w:cs="仿宋_GB2312" w:eastAsia="仿宋_GB2312"/>
                <w:sz w:val="24"/>
                <w:color w:val="0000FF"/>
              </w:rPr>
              <w:t>(2)《中华人民共和国国民经济和社会发展第十四个五年规划和2035年远 景目标纲要》;</w:t>
            </w:r>
          </w:p>
          <w:p>
            <w:pPr>
              <w:pStyle w:val="null3"/>
              <w:ind w:firstLine="480"/>
              <w:jc w:val="left"/>
            </w:pPr>
            <w:r>
              <w:rPr>
                <w:rFonts w:ascii="仿宋_GB2312" w:hAnsi="仿宋_GB2312" w:cs="仿宋_GB2312" w:eastAsia="仿宋_GB2312"/>
                <w:sz w:val="24"/>
                <w:color w:val="0000FF"/>
              </w:rPr>
              <w:t>(3)中共中央办公厅国务院办公厅《关于推进新型城市基础设施建设打造 韧性城市的意见》;</w:t>
            </w:r>
          </w:p>
          <w:p>
            <w:pPr>
              <w:pStyle w:val="null3"/>
              <w:ind w:firstLine="480"/>
              <w:jc w:val="left"/>
            </w:pPr>
            <w:r>
              <w:rPr>
                <w:rFonts w:ascii="仿宋_GB2312" w:hAnsi="仿宋_GB2312" w:cs="仿宋_GB2312" w:eastAsia="仿宋_GB2312"/>
                <w:sz w:val="24"/>
                <w:color w:val="0000FF"/>
              </w:rPr>
              <w:t>(4)《关于开展第一批城市更新试点工作的通知》(建办科函〔2021〕443 号 ) ;</w:t>
            </w:r>
          </w:p>
          <w:p>
            <w:pPr>
              <w:pStyle w:val="null3"/>
              <w:ind w:firstLine="480"/>
              <w:jc w:val="left"/>
            </w:pPr>
            <w:r>
              <w:rPr>
                <w:rFonts w:ascii="仿宋_GB2312" w:hAnsi="仿宋_GB2312" w:cs="仿宋_GB2312" w:eastAsia="仿宋_GB2312"/>
                <w:sz w:val="24"/>
                <w:color w:val="0000FF"/>
              </w:rPr>
              <w:t>(5)《关于扎实有序推进城市更新工作的通知》(建科〔2023〕30号);</w:t>
            </w:r>
          </w:p>
          <w:p>
            <w:pPr>
              <w:pStyle w:val="null3"/>
              <w:ind w:firstLine="480"/>
              <w:jc w:val="left"/>
            </w:pPr>
            <w:r>
              <w:rPr>
                <w:rFonts w:ascii="仿宋_GB2312" w:hAnsi="仿宋_GB2312" w:cs="仿宋_GB2312" w:eastAsia="仿宋_GB2312"/>
                <w:sz w:val="24"/>
                <w:color w:val="0000FF"/>
              </w:rPr>
              <w:t>(6)《关于开展城市更新示范工作的通知》(财办建〔2024〕24号);</w:t>
            </w:r>
          </w:p>
          <w:p>
            <w:pPr>
              <w:pStyle w:val="null3"/>
              <w:ind w:firstLine="480"/>
              <w:jc w:val="left"/>
            </w:pPr>
            <w:r>
              <w:rPr>
                <w:rFonts w:ascii="仿宋_GB2312" w:hAnsi="仿宋_GB2312" w:cs="仿宋_GB2312" w:eastAsia="仿宋_GB2312"/>
                <w:sz w:val="24"/>
                <w:color w:val="0000FF"/>
              </w:rPr>
              <w:t>(7)《关于深化智慧城市发展推进城市全域数字化转型的指导意见》(发 改数据〔2024〕660号);</w:t>
            </w:r>
          </w:p>
          <w:p>
            <w:pPr>
              <w:pStyle w:val="null3"/>
              <w:ind w:firstLine="480"/>
              <w:jc w:val="left"/>
            </w:pPr>
            <w:r>
              <w:rPr>
                <w:rFonts w:ascii="仿宋_GB2312" w:hAnsi="仿宋_GB2312" w:cs="仿宋_GB2312" w:eastAsia="仿宋_GB2312"/>
                <w:sz w:val="24"/>
                <w:color w:val="0000FF"/>
              </w:rPr>
              <w:t>(8)《2024年城市更新行动评审结果公示》;</w:t>
            </w:r>
          </w:p>
          <w:p>
            <w:pPr>
              <w:pStyle w:val="null3"/>
              <w:ind w:firstLine="480"/>
              <w:jc w:val="left"/>
            </w:pPr>
            <w:r>
              <w:rPr>
                <w:rFonts w:ascii="仿宋_GB2312" w:hAnsi="仿宋_GB2312" w:cs="仿宋_GB2312" w:eastAsia="仿宋_GB2312"/>
                <w:sz w:val="24"/>
                <w:color w:val="0000FF"/>
              </w:rPr>
              <w:t>(9)《中共中央关于进一步全面深化改革推进中国式现代化的决定》;</w:t>
            </w:r>
          </w:p>
          <w:p>
            <w:pPr>
              <w:pStyle w:val="null3"/>
              <w:ind w:firstLine="480"/>
              <w:jc w:val="left"/>
            </w:pPr>
            <w:r>
              <w:rPr>
                <w:rFonts w:ascii="仿宋_GB2312" w:hAnsi="仿宋_GB2312" w:cs="仿宋_GB2312" w:eastAsia="仿宋_GB2312"/>
                <w:sz w:val="24"/>
                <w:color w:val="0000FF"/>
              </w:rPr>
              <w:t>(10)《深入实施以人为本的新型城镇化战略五年行动计划》(国发〔2024〕 17号 ) ;</w:t>
            </w:r>
          </w:p>
          <w:p>
            <w:pPr>
              <w:pStyle w:val="null3"/>
              <w:ind w:firstLine="480"/>
              <w:jc w:val="left"/>
            </w:pPr>
            <w:r>
              <w:rPr>
                <w:rFonts w:ascii="仿宋_GB2312" w:hAnsi="仿宋_GB2312" w:cs="仿宋_GB2312" w:eastAsia="仿宋_GB2312"/>
                <w:sz w:val="24"/>
                <w:color w:val="0000FF"/>
              </w:rPr>
              <w:t>(11)中共西安市委、西安市人民政府关于印发《2025年全市“深化六个 改革”实施方案》的通知(市字〔2025〕21号);</w:t>
            </w:r>
          </w:p>
          <w:p>
            <w:pPr>
              <w:pStyle w:val="null3"/>
              <w:ind w:firstLine="480"/>
              <w:jc w:val="left"/>
            </w:pPr>
            <w:r>
              <w:rPr>
                <w:rFonts w:ascii="仿宋_GB2312" w:hAnsi="仿宋_GB2312" w:cs="仿宋_GB2312" w:eastAsia="仿宋_GB2312"/>
                <w:sz w:val="24"/>
                <w:color w:val="0000FF"/>
              </w:rPr>
              <w:t>(12)《关于持续推进高水平规划资源管理促进经济社会高质量发展工作安 排》(市政办发〔2024〕55号);</w:t>
            </w:r>
          </w:p>
          <w:p>
            <w:pPr>
              <w:pStyle w:val="null3"/>
              <w:ind w:firstLine="480"/>
              <w:jc w:val="left"/>
            </w:pPr>
            <w:r>
              <w:rPr>
                <w:rFonts w:ascii="仿宋_GB2312" w:hAnsi="仿宋_GB2312" w:cs="仿宋_GB2312" w:eastAsia="仿宋_GB2312"/>
                <w:sz w:val="24"/>
                <w:color w:val="0000FF"/>
              </w:rPr>
              <w:t>(13)《西安市人民政府专项问题会议纪要》(2024年第48号);</w:t>
            </w:r>
          </w:p>
          <w:p>
            <w:pPr>
              <w:pStyle w:val="null3"/>
              <w:ind w:firstLine="480"/>
              <w:jc w:val="left"/>
            </w:pPr>
            <w:r>
              <w:rPr>
                <w:rFonts w:ascii="仿宋_GB2312" w:hAnsi="仿宋_GB2312" w:cs="仿宋_GB2312" w:eastAsia="仿宋_GB2312"/>
                <w:sz w:val="24"/>
                <w:color w:val="0000FF"/>
              </w:rPr>
              <w:t>(14)《2025年西安市政府工作报告》;</w:t>
            </w:r>
          </w:p>
          <w:p>
            <w:pPr>
              <w:pStyle w:val="null3"/>
              <w:jc w:val="left"/>
            </w:pPr>
            <w:r>
              <w:rPr>
                <w:rFonts w:ascii="仿宋_GB2312" w:hAnsi="仿宋_GB2312" w:cs="仿宋_GB2312" w:eastAsia="仿宋_GB2312"/>
                <w:sz w:val="24"/>
                <w:color w:val="0000FF"/>
              </w:rPr>
              <w:t>(15)《西安市自然资源和规划局关于西安市城市更新耦合平台建设与系列 规划等技术服务项目有关事宜的请示》(市资源字〔2025〕24号)。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FF"/>
              </w:rPr>
              <w:t>六、商务要求。</w:t>
            </w:r>
          </w:p>
          <w:p>
            <w:pPr>
              <w:pStyle w:val="null3"/>
              <w:ind w:firstLine="480"/>
              <w:jc w:val="left"/>
            </w:pPr>
            <w:r>
              <w:rPr>
                <w:rFonts w:ascii="仿宋_GB2312" w:hAnsi="仿宋_GB2312" w:cs="仿宋_GB2312" w:eastAsia="仿宋_GB2312"/>
                <w:sz w:val="24"/>
                <w:color w:val="0000FF"/>
              </w:rPr>
              <w:t>(一)设计工作进度要求</w:t>
            </w:r>
          </w:p>
          <w:p>
            <w:pPr>
              <w:pStyle w:val="null3"/>
              <w:ind w:firstLine="240"/>
              <w:jc w:val="left"/>
            </w:pPr>
            <w:r>
              <w:rPr>
                <w:rFonts w:ascii="仿宋_GB2312" w:hAnsi="仿宋_GB2312" w:cs="仿宋_GB2312" w:eastAsia="仿宋_GB2312"/>
                <w:sz w:val="24"/>
                <w:color w:val="0000FF"/>
              </w:rPr>
              <w:t>设计服务期限：合同签订后30天内提交全套初步设计文件。</w:t>
            </w:r>
          </w:p>
          <w:p>
            <w:pPr>
              <w:pStyle w:val="null3"/>
              <w:ind w:firstLine="480"/>
              <w:jc w:val="left"/>
            </w:pPr>
            <w:r>
              <w:rPr>
                <w:rFonts w:ascii="仿宋_GB2312" w:hAnsi="仿宋_GB2312" w:cs="仿宋_GB2312" w:eastAsia="仿宋_GB2312"/>
                <w:sz w:val="24"/>
                <w:color w:val="0000FF"/>
              </w:rPr>
              <w:t>(二)款项结算</w:t>
            </w:r>
          </w:p>
          <w:p>
            <w:pPr>
              <w:pStyle w:val="null3"/>
              <w:jc w:val="left"/>
            </w:pPr>
            <w:r>
              <w:rPr>
                <w:rFonts w:ascii="仿宋_GB2312" w:hAnsi="仿宋_GB2312" w:cs="仿宋_GB2312" w:eastAsia="仿宋_GB2312"/>
                <w:sz w:val="24"/>
                <w:color w:val="0000FF"/>
              </w:rPr>
              <w:t>合同签订后7个工作日内支付合同总价款的50%;设计服务完成后并交付甲 方验收合格后，甲方向乙方支付合同总价款的50%。</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color w:val="0000FF"/>
              </w:rPr>
              <w:t>七、其他要求。</w:t>
            </w:r>
          </w:p>
          <w:p>
            <w:pPr>
              <w:pStyle w:val="null3"/>
              <w:ind w:firstLine="480"/>
              <w:jc w:val="left"/>
            </w:pPr>
            <w:r>
              <w:rPr>
                <w:rFonts w:ascii="仿宋_GB2312" w:hAnsi="仿宋_GB2312" w:cs="仿宋_GB2312" w:eastAsia="仿宋_GB2312"/>
                <w:sz w:val="24"/>
                <w:color w:val="0000FF"/>
              </w:rPr>
              <w:t>(一)成果交付要求。</w:t>
            </w:r>
          </w:p>
          <w:p>
            <w:pPr>
              <w:pStyle w:val="null3"/>
              <w:ind w:firstLine="480"/>
              <w:jc w:val="left"/>
            </w:pPr>
            <w:r>
              <w:rPr>
                <w:rFonts w:ascii="仿宋_GB2312" w:hAnsi="仿宋_GB2312" w:cs="仿宋_GB2312" w:eastAsia="仿宋_GB2312"/>
                <w:sz w:val="24"/>
                <w:color w:val="0000FF"/>
              </w:rPr>
              <w:t>(1)电子文件 (U 盘)包括：初步设计文件应为ppt 格式或.doc 格式。</w:t>
            </w:r>
          </w:p>
          <w:p>
            <w:pPr>
              <w:pStyle w:val="null3"/>
              <w:ind w:firstLine="480"/>
              <w:jc w:val="left"/>
            </w:pPr>
            <w:r>
              <w:rPr>
                <w:rFonts w:ascii="仿宋_GB2312" w:hAnsi="仿宋_GB2312" w:cs="仿宋_GB2312" w:eastAsia="仿宋_GB2312"/>
                <w:sz w:val="24"/>
                <w:color w:val="0000FF"/>
              </w:rPr>
              <w:t>(2)设计成果文件的语言文字应采用简体中文。</w:t>
            </w:r>
          </w:p>
          <w:p>
            <w:pPr>
              <w:pStyle w:val="null3"/>
              <w:ind w:firstLine="480"/>
              <w:jc w:val="left"/>
            </w:pPr>
            <w:r>
              <w:rPr>
                <w:rFonts w:ascii="仿宋_GB2312" w:hAnsi="仿宋_GB2312" w:cs="仿宋_GB2312" w:eastAsia="仿宋_GB2312"/>
                <w:sz w:val="24"/>
                <w:color w:val="0000FF"/>
              </w:rPr>
              <w:t>(3)按进度要求完成初步设计服务，由采购人或项目管理单位组织召开评 审会议 。</w:t>
            </w:r>
          </w:p>
          <w:p>
            <w:pPr>
              <w:pStyle w:val="null3"/>
              <w:ind w:firstLine="480"/>
              <w:jc w:val="left"/>
            </w:pPr>
            <w:r>
              <w:rPr>
                <w:rFonts w:ascii="仿宋_GB2312" w:hAnsi="仿宋_GB2312" w:cs="仿宋_GB2312" w:eastAsia="仿宋_GB2312"/>
                <w:sz w:val="24"/>
                <w:color w:val="0000FF"/>
              </w:rPr>
              <w:t>(二)质量验收标准或规范</w:t>
            </w:r>
          </w:p>
          <w:p>
            <w:pPr>
              <w:pStyle w:val="null3"/>
              <w:ind w:firstLine="480"/>
              <w:jc w:val="left"/>
            </w:pPr>
            <w:r>
              <w:rPr>
                <w:rFonts w:ascii="仿宋_GB2312" w:hAnsi="仿宋_GB2312" w:cs="仿宋_GB2312" w:eastAsia="仿宋_GB2312"/>
                <w:sz w:val="24"/>
                <w:color w:val="0000FF"/>
              </w:rPr>
              <w:t>设计方案提交甲方后，甲方组织相关专家评审。设计单位根据专家评审意见进行修改，修改后按程序报送数据局进行方案评审并通过后，按合同约定再进行 全部结算及支付。</w:t>
            </w:r>
          </w:p>
          <w:p>
            <w:pPr>
              <w:pStyle w:val="null3"/>
              <w:ind w:firstLine="480"/>
              <w:jc w:val="left"/>
            </w:pPr>
            <w:r>
              <w:rPr>
                <w:rFonts w:ascii="仿宋_GB2312" w:hAnsi="仿宋_GB2312" w:cs="仿宋_GB2312" w:eastAsia="仿宋_GB2312"/>
                <w:sz w:val="24"/>
                <w:color w:val="0000FF"/>
              </w:rPr>
              <w:t>(四)违约责任</w:t>
            </w:r>
          </w:p>
          <w:p>
            <w:pPr>
              <w:pStyle w:val="null3"/>
              <w:ind w:firstLine="480"/>
              <w:jc w:val="left"/>
            </w:pPr>
            <w:r>
              <w:rPr>
                <w:rFonts w:ascii="仿宋_GB2312" w:hAnsi="仿宋_GB2312" w:cs="仿宋_GB2312" w:eastAsia="仿宋_GB2312"/>
                <w:sz w:val="24"/>
                <w:color w:val="0000FF"/>
              </w:rPr>
              <w:t>1、合同生效后，甲方要求终止或解除各同，乙方已开始建设工作的，甲方应根 据乙方已进行的实际工作量支付资金。无正当理由，乙方要求终止或解除合同，乙方应向甲方支付合同总价40%的违约金。</w:t>
            </w:r>
          </w:p>
          <w:p>
            <w:pPr>
              <w:pStyle w:val="null3"/>
              <w:ind w:firstLine="480"/>
              <w:jc w:val="left"/>
            </w:pPr>
            <w:r>
              <w:rPr>
                <w:rFonts w:ascii="仿宋_GB2312" w:hAnsi="仿宋_GB2312" w:cs="仿宋_GB2312" w:eastAsia="仿宋_GB2312"/>
                <w:sz w:val="24"/>
                <w:color w:val="0000FF"/>
              </w:rPr>
              <w:t>2、乙方应按照合同1.5条规定进度如期向甲方提交成果，并接照甲方合理要求保障项目进度，每逾期一天，乙方应向甲方支付该阶段应付款项0.2%逾期违约金，逾期超过30天及以上时，甲方有权单方面解除合同。甲方解除合同后，剩余款项不再支付，乙方除需向甲方退换已付款项外，向甲方支付合同总价20%的违约金，还应赔偿甲方的全部损失。</w:t>
            </w:r>
          </w:p>
          <w:p>
            <w:pPr>
              <w:pStyle w:val="null3"/>
              <w:ind w:firstLine="480"/>
              <w:jc w:val="left"/>
            </w:pPr>
            <w:r>
              <w:rPr>
                <w:rFonts w:ascii="仿宋_GB2312" w:hAnsi="仿宋_GB2312" w:cs="仿宋_GB2312" w:eastAsia="仿宋_GB2312"/>
                <w:sz w:val="24"/>
                <w:color w:val="0000FF"/>
              </w:rPr>
              <w:t>3、乙方工作人员在履职过程中故意或者重大过失导致成果出现遗漏或错误 的，乙方应当在甲方确定的期限内无偿负责修改或补充，直到达到质量要求。若乙方拒绝补救或补救后仍不能达到质量要求的，甲方有权单方面解除合同。甲方解除合同后，乙方除需返还已收取的价款，向甲方支付本合同价款20%的违约金，还应当赔偿甲方的全部损失。</w:t>
            </w:r>
          </w:p>
          <w:p>
            <w:pPr>
              <w:pStyle w:val="null3"/>
              <w:ind w:firstLine="480"/>
              <w:jc w:val="left"/>
            </w:pPr>
            <w:r>
              <w:rPr>
                <w:rFonts w:ascii="仿宋_GB2312" w:hAnsi="仿宋_GB2312" w:cs="仿宋_GB2312" w:eastAsia="仿宋_GB2312"/>
                <w:sz w:val="24"/>
                <w:color w:val="0000FF"/>
              </w:rPr>
              <w:t>4、未经甲方书面同意，乙方擅自将服务过程中所接触到甲方的任何资料和 因履行本合同所形成的任何成果泄漏、转让给第三方的，甲方有权单方面解除合同，并由乙方支付本合同价款的20%作为违约金。由此导致甲方造成损失的，乙方还应当赔偿甲方的全部损失。</w:t>
            </w:r>
          </w:p>
          <w:p>
            <w:pPr>
              <w:pStyle w:val="null3"/>
              <w:jc w:val="left"/>
            </w:pPr>
            <w:r>
              <w:rPr>
                <w:rFonts w:ascii="仿宋_GB2312" w:hAnsi="仿宋_GB2312" w:cs="仿宋_GB2312" w:eastAsia="仿宋_GB2312"/>
                <w:sz w:val="24"/>
                <w:color w:val="0000FF"/>
              </w:rPr>
              <w:t>5、约定的乙方的损失赔偿责任，包括但不限于给甲方造成的直接经济损失、可预期利益，以及甲方因维权所产生的诉讼费、律师费、公证费、保全费、差旅费等全部相关费用。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自合同签订后30天内提交全套初步设计文件。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设计方案提交甲方后，甲方组织相关专家评审。设计单位根据专家评审意见 进行修改，修改后按程序报送数据局进行方案评审并通过后，按合同约定再进行 全部结算及支付。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设计服务完成后并交付甲方验收合格后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1、合同生效后，甲方要求终止或解除各同，乙方已开始建设工作的，甲方应根据乙方已进行的实际工作量支付资金。无正当理由，乙方要求终止或解除合同，乙方应向甲方支付合同总价40%的违约金。 2、乙方应按照合同1.5条规定进度如期向甲方提交成果，并接照甲方合理要求保障项目进度，每逾期一天，乙方应向甲方支付该阶段应付款项0.2%逾期违约金，逾期超过30天及以上时，甲方有权单方面解除合同。甲方解除合同后，剩余款项不再支付，乙方除需向甲方退换已付款项外，向甲方支付合同总价20%的违约金，还应赔偿甲方的全部损失。 3、乙方工作人员在履职过程中故意或者重大过失导致成果出现遗漏或错误的，乙方应当在甲方确定的期限内无偿负责修改或补充，直到达到质量要求。若乙方拒绝补救或补救后仍不能达到质量要求的，甲方有权单方面解除合同。甲方解除合同后，乙方除需返还已收取的价款，向甲方支付本合同价款20%的违约金，还应当赔偿甲方的全部损失。 4、未经甲方书面同意，乙方擅自将服务过程中所接触到甲方的任何资料和因履行本合同所形成的任何成果泄漏、转让给第三方的，甲方有权单方面解除合同，并由乙方支付本合同价款的20%作为违约金。由此导致甲方造成损失的，乙方还应当赔偿甲方的全部损失。 5、约定的乙方的损失赔偿责任，包括但不限于给甲方造成的直接经济损失、可预期利益，以及甲方因维权所产生的诉讼费、律师费、公证费、保全费、差旅费等全部相关费用。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或其投标前三个月内基本存款账户开户银行出具的资信证明及开户银行打印的含有企业基本存款账户编号的《基本存款账户信息》。</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提供开标前6个月至今已缴纳的至少一个月的纳税凭证或完税证明（任意税种），完税证明上应有代收机构或税务机关的公章；依法免税的供应商应提供相关文件证明。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提供开标前6个月至今已缴存的至少一个月的社会保障资金缴存单据或社保机构开具的社会保险参保缴费情况证明；依法不需要缴纳社会保障资金的供应商应提供相关文件证明。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供应商须具有国家住房和城乡建设部颁发的工程设计综合甲级或电子通信广电行业（有线通信、无线通信）专业设计甲级资质或电子通信广电行业（通信工程）设计甲级资质。</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法定代表人直接参加投标的，须出具法定代表人身份证明。授权代表参加投标的，须出具法定代表人授权书，并附法定代表人和被授权人身份证明，及被授权人社保缴纳证明。</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单位负责人为同一人或者存在直接控股、管理关系的不同供应商不得参加统一合同项下的政府采购活动。</w:t>
            </w:r>
          </w:p>
        </w:tc>
        <w:tc>
          <w:tcPr>
            <w:tcW w:type="dxa" w:w="1661"/>
          </w:tcPr>
          <w:p>
            <w:pPr>
              <w:pStyle w:val="null3"/>
            </w:pPr>
            <w:r>
              <w:rPr>
                <w:rFonts w:ascii="仿宋_GB2312" w:hAnsi="仿宋_GB2312" w:cs="仿宋_GB2312" w:eastAsia="仿宋_GB2312"/>
              </w:rPr>
              <w:t>其他证明材料.docx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（2）拟提供服务响应程度；应满足磋商文件提出的技术和服务要求。不允许技术参数负偏离； （3）服务期限：自合同签订后30天内提交全套初步设计文件； （4）服务地点：采购人指定地点（5）磋商有效期：应满足磋商文件中的规定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项目的理解和需求响应</w:t>
            </w:r>
          </w:p>
        </w:tc>
        <w:tc>
          <w:tcPr>
            <w:tcW w:type="dxa" w:w="2492"/>
          </w:tcPr>
          <w:p>
            <w:pPr>
              <w:pStyle w:val="null3"/>
            </w:pPr>
            <w:r>
              <w:rPr>
                <w:rFonts w:ascii="仿宋_GB2312" w:hAnsi="仿宋_GB2312" w:cs="仿宋_GB2312" w:eastAsia="仿宋_GB2312"/>
              </w:rPr>
              <w:t>供应商针对本项目的理解和需求响应，内容包括但不限于①项目建设背景；②建设目标；③建设内容④城市更新政策⑤平台耦合需求等。 以上内容不存在瑕疵计10分； 以上内容存在1处瑕疵计8分； 以上内容存在2处瑕疵计6分； 以上内容存在3处瑕疵计4分； 以上内容存在4处瑕疵计2分； 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供应商针对本项目提供的设计方案，内容包括但不限于①架构设计清晰②功能模块覆盖③风险评估等方案编制服务方案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供应商针对本项目提供的质量保证措施，包括但不限于①质量保证体系②质量保障方案③质量目标④进度质量保证等。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供应商针对本项目提供的进度保证措施，包括但不限于①项目的总体计划安排②各子项任务的衔接③文字及图表的说明④保证工作进度计划措施等。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团队协作</w:t>
            </w:r>
          </w:p>
        </w:tc>
        <w:tc>
          <w:tcPr>
            <w:tcW w:type="dxa" w:w="2492"/>
          </w:tcPr>
          <w:p>
            <w:pPr>
              <w:pStyle w:val="null3"/>
            </w:pPr>
            <w:r>
              <w:rPr>
                <w:rFonts w:ascii="仿宋_GB2312" w:hAnsi="仿宋_GB2312" w:cs="仿宋_GB2312" w:eastAsia="仿宋_GB2312"/>
              </w:rPr>
              <w:t>供应商针对本项目提供合理的团队协作措施，符合采购人实际需求，包括但不限于①项目后期各方配合措施②施工配合机制③协助建设单位优化完善项目建设方案。 以上内容不存在瑕疵计4分； 以上内容存在1处瑕疵计3分； 以上内容存在2处瑕疵计2分；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针对本项目具体实施提供服务团队安排。 （一）项目负责人： 1、具备通信类相关专业高级工程师或信息系统项目管理师以上职称，在此基础上同时具备注册咨询工程师主专业（电子、信息工程）资质的得2分， 具备一级建造师（通信广电行业）资格的加1分，同时数据库系统工程师资格的加1分，同时具备CISP信息安全工程师资质的加1分。 本项最多得5分，不满足或不提供不得分； （二）团队成员 1、投标人拟派项目组成员具备通信类相关专业高级工程师或信息系统项目管理师以上职称，每提供1名得1分，最高得5分，不提供不得分； 2、投标人拟派项目组成员具备注册信息安全专业人员（CISP)证书的，每提供1个得1分，最多得2分，不提供不得分； 3、投标人拟派项目组成员具备系统架构设计师证书的，每提供1个得1分，最多得2分，不提供不得分； 4、要求项目成员搭配合理，各负责人分工明确，能满足项目的不同需求，且对拟派设计人员数量、分工、相关资质、信息化工程设计经验等方面进行评分，最多得2分。 注：项目组成员须提供加盖公章的资质证书复印件及近三个月的社保证明。</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提供针对本项目的售后服务方案，包括但不限于①售后服务承诺（提供7X24小时技术支持、定期巡检、系统升级服务等，承诺书格式自拟并加盖公章）②售后服务人员③售后响应时限等； 以上内容不存在瑕疵计8分； 以上内容存在1处瑕疵计6分； 以上内容存在2处瑕疵计4分；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认证体系</w:t>
            </w:r>
          </w:p>
        </w:tc>
        <w:tc>
          <w:tcPr>
            <w:tcW w:type="dxa" w:w="2492"/>
          </w:tcPr>
          <w:p>
            <w:pPr>
              <w:pStyle w:val="null3"/>
            </w:pPr>
            <w:r>
              <w:rPr>
                <w:rFonts w:ascii="仿宋_GB2312" w:hAnsi="仿宋_GB2312" w:cs="仿宋_GB2312" w:eastAsia="仿宋_GB2312"/>
              </w:rPr>
              <w:t>1、具有信息技术（IT）服务管理体系认证（ISO/IEC20000或GB/T24405）得3分，其它不得分； 2、具有信息安全管理体系认证（ISO/IEC 27001或GB/T22080）得3分，其它不得分。 3、具有中国电子信息行业联合会颁发的 信息系统建设和服务能力等级证书CS4级(优秀级)证书得3分，其他不得分。 4、具有数据管理能力成熟度评估（DCMM）稳健级（3级）证书得3分，其他不得分。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供应商提供2021年至今有相关信息化咨询、可研、设计、方案编制等类似项目业绩（以合同签订时间为准，需提供加盖公章的复印件）每提供一份计2分，满分10分。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采用低价优先法计算，即满足竞争性磋商文件要求且磋商价格最低报价为 评标基准价，其价格分为满分，报价得分=(评标基准价/磋商报价)×10。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