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7978CB">
      <w:pPr>
        <w:adjustRightInd w:val="0"/>
        <w:snapToGrid w:val="0"/>
        <w:spacing w:line="360" w:lineRule="auto"/>
        <w:ind w:firstLine="883" w:firstLineChars="200"/>
        <w:jc w:val="center"/>
        <w:rPr>
          <w:rFonts w:ascii="仿宋_GB2312" w:hAnsi="仿宋_GB2312" w:eastAsia="仿宋_GB2312" w:cs="仿宋_GB2312"/>
          <w:b/>
          <w:bCs/>
          <w:color w:val="auto"/>
          <w:sz w:val="44"/>
          <w:szCs w:val="44"/>
          <w:highlight w:val="none"/>
        </w:rPr>
      </w:pPr>
      <w:bookmarkStart w:id="0" w:name="_Toc5299"/>
      <w:bookmarkStart w:id="1" w:name="_Toc29203"/>
      <w:r>
        <w:rPr>
          <w:rFonts w:hint="eastAsia" w:ascii="仿宋_GB2312" w:hAnsi="仿宋_GB2312" w:eastAsia="仿宋_GB2312" w:cs="仿宋_GB2312"/>
          <w:b/>
          <w:bCs/>
          <w:color w:val="auto"/>
          <w:sz w:val="44"/>
          <w:szCs w:val="44"/>
          <w:highlight w:val="none"/>
        </w:rPr>
        <w:t>西安市精神卫生中心</w:t>
      </w:r>
    </w:p>
    <w:p w14:paraId="2990DB42">
      <w:pPr>
        <w:adjustRightInd w:val="0"/>
        <w:snapToGrid w:val="0"/>
        <w:spacing w:line="360" w:lineRule="auto"/>
        <w:ind w:firstLine="883" w:firstLineChars="200"/>
        <w:jc w:val="center"/>
        <w:rPr>
          <w:rFonts w:hint="eastAsia" w:ascii="仿宋_GB2312" w:hAnsi="仿宋_GB2312" w:eastAsia="仿宋_GB2312" w:cs="仿宋_GB2312"/>
          <w:b/>
          <w:bCs/>
          <w:color w:val="auto"/>
          <w:sz w:val="44"/>
          <w:szCs w:val="44"/>
          <w:highlight w:val="none"/>
        </w:rPr>
      </w:pPr>
      <w:r>
        <w:rPr>
          <w:rFonts w:hint="eastAsia" w:ascii="仿宋_GB2312" w:hAnsi="仿宋_GB2312" w:eastAsia="仿宋_GB2312" w:cs="仿宋_GB2312"/>
          <w:b/>
          <w:bCs/>
          <w:color w:val="auto"/>
          <w:sz w:val="44"/>
          <w:szCs w:val="44"/>
          <w:highlight w:val="none"/>
          <w:lang w:val="en-US" w:eastAsia="zh-CN"/>
        </w:rPr>
        <w:t>智慧服务建设项目</w:t>
      </w:r>
      <w:r>
        <w:rPr>
          <w:rFonts w:hint="eastAsia" w:ascii="仿宋_GB2312" w:hAnsi="仿宋_GB2312" w:eastAsia="仿宋_GB2312" w:cs="仿宋_GB2312"/>
          <w:b/>
          <w:bCs/>
          <w:color w:val="auto"/>
          <w:sz w:val="44"/>
          <w:szCs w:val="44"/>
          <w:highlight w:val="none"/>
        </w:rPr>
        <w:t>合同</w:t>
      </w:r>
    </w:p>
    <w:p w14:paraId="204A21B1">
      <w:pPr>
        <w:spacing w:line="360" w:lineRule="auto"/>
        <w:ind w:firstLine="480" w:firstLineChars="200"/>
        <w:rPr>
          <w:rFonts w:ascii="仿宋" w:hAnsi="仿宋" w:eastAsia="仿宋"/>
          <w:color w:val="auto"/>
          <w:sz w:val="24"/>
          <w:highlight w:val="none"/>
        </w:rPr>
      </w:pPr>
      <w:r>
        <w:rPr>
          <w:rFonts w:hint="eastAsia" w:ascii="仿宋" w:hAnsi="仿宋" w:eastAsia="仿宋"/>
          <w:color w:val="auto"/>
          <w:sz w:val="24"/>
          <w:highlight w:val="none"/>
        </w:rPr>
        <w:t>甲方：西安市精神卫生中心</w:t>
      </w:r>
    </w:p>
    <w:p w14:paraId="37494A1A">
      <w:pPr>
        <w:tabs>
          <w:tab w:val="left" w:pos="480"/>
        </w:tabs>
        <w:spacing w:line="360" w:lineRule="auto"/>
        <w:ind w:firstLine="480" w:firstLineChars="200"/>
        <w:rPr>
          <w:rFonts w:hint="default" w:ascii="仿宋" w:hAnsi="仿宋" w:eastAsia="仿宋"/>
          <w:color w:val="auto"/>
          <w:sz w:val="24"/>
          <w:highlight w:val="none"/>
          <w:lang w:val="en-US" w:eastAsia="zh-CN"/>
        </w:rPr>
      </w:pPr>
      <w:r>
        <w:rPr>
          <w:rFonts w:hint="eastAsia" w:ascii="仿宋" w:hAnsi="仿宋" w:eastAsia="仿宋"/>
          <w:color w:val="auto"/>
          <w:sz w:val="24"/>
          <w:highlight w:val="none"/>
        </w:rPr>
        <w:t>乙方：</w:t>
      </w:r>
    </w:p>
    <w:p w14:paraId="488DB454">
      <w:pPr>
        <w:spacing w:line="360" w:lineRule="auto"/>
        <w:ind w:firstLine="480" w:firstLineChars="200"/>
        <w:rPr>
          <w:rFonts w:ascii="仿宋" w:hAnsi="仿宋" w:eastAsia="仿宋"/>
          <w:color w:val="auto"/>
          <w:sz w:val="24"/>
          <w:highlight w:val="none"/>
        </w:rPr>
      </w:pPr>
      <w:r>
        <w:rPr>
          <w:rFonts w:hint="eastAsia" w:ascii="仿宋" w:hAnsi="仿宋" w:eastAsia="仿宋"/>
          <w:color w:val="auto"/>
          <w:sz w:val="24"/>
          <w:highlight w:val="none"/>
        </w:rPr>
        <w:t>依据《中华人民共和国政府采购法》、《中华人民共和国招标投标法》、《中华人民共和国民法典》以及该项目的招标文件、成交供应商应标文件正本和澄清表（函）、中标通知书，经甲、乙双方协商，达成如下条款。</w:t>
      </w:r>
    </w:p>
    <w:p w14:paraId="74142BCD">
      <w:pPr>
        <w:tabs>
          <w:tab w:val="left" w:pos="480"/>
        </w:tabs>
        <w:spacing w:line="360" w:lineRule="auto"/>
        <w:ind w:firstLine="482" w:firstLineChars="200"/>
        <w:rPr>
          <w:rFonts w:ascii="仿宋" w:hAnsi="仿宋" w:eastAsia="仿宋"/>
          <w:b/>
          <w:color w:val="auto"/>
          <w:sz w:val="24"/>
          <w:highlight w:val="none"/>
        </w:rPr>
      </w:pPr>
      <w:r>
        <w:rPr>
          <w:rFonts w:hint="eastAsia" w:ascii="仿宋" w:hAnsi="仿宋" w:eastAsia="仿宋"/>
          <w:b/>
          <w:color w:val="auto"/>
          <w:sz w:val="24"/>
          <w:highlight w:val="none"/>
        </w:rPr>
        <w:t>一、合同标的物内容及数量</w:t>
      </w:r>
      <w:r>
        <w:rPr>
          <w:rFonts w:hint="eastAsia" w:ascii="仿宋" w:hAnsi="仿宋" w:eastAsia="仿宋"/>
          <w:color w:val="auto"/>
          <w:sz w:val="24"/>
          <w:highlight w:val="none"/>
        </w:rPr>
        <w:t>（以磋商响应文件正本和澄清表〈函〉为准）</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2260"/>
        <w:gridCol w:w="2268"/>
        <w:gridCol w:w="1134"/>
        <w:gridCol w:w="891"/>
        <w:gridCol w:w="1334"/>
      </w:tblGrid>
      <w:tr w14:paraId="6DE2D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2" w:type="dxa"/>
            <w:tcBorders>
              <w:top w:val="single" w:color="auto" w:sz="4" w:space="0"/>
              <w:left w:val="single" w:color="auto" w:sz="4" w:space="0"/>
              <w:bottom w:val="single" w:color="auto" w:sz="4" w:space="0"/>
              <w:right w:val="single" w:color="auto" w:sz="4" w:space="0"/>
            </w:tcBorders>
            <w:noWrap w:val="0"/>
            <w:vAlign w:val="center"/>
          </w:tcPr>
          <w:p w14:paraId="215893C6">
            <w:pPr>
              <w:tabs>
                <w:tab w:val="left" w:pos="480"/>
              </w:tabs>
              <w:spacing w:line="360" w:lineRule="auto"/>
              <w:jc w:val="center"/>
              <w:rPr>
                <w:rFonts w:ascii="仿宋" w:hAnsi="仿宋" w:eastAsia="仿宋"/>
                <w:color w:val="auto"/>
                <w:sz w:val="24"/>
                <w:highlight w:val="none"/>
              </w:rPr>
            </w:pPr>
            <w:r>
              <w:rPr>
                <w:rFonts w:hint="eastAsia" w:ascii="仿宋" w:hAnsi="仿宋" w:eastAsia="仿宋"/>
                <w:color w:val="auto"/>
                <w:sz w:val="24"/>
                <w:highlight w:val="none"/>
              </w:rPr>
              <w:t>序号</w:t>
            </w:r>
          </w:p>
        </w:tc>
        <w:tc>
          <w:tcPr>
            <w:tcW w:w="2260" w:type="dxa"/>
            <w:tcBorders>
              <w:top w:val="single" w:color="auto" w:sz="4" w:space="0"/>
              <w:left w:val="single" w:color="auto" w:sz="4" w:space="0"/>
              <w:bottom w:val="single" w:color="auto" w:sz="4" w:space="0"/>
              <w:right w:val="single" w:color="auto" w:sz="4" w:space="0"/>
            </w:tcBorders>
            <w:noWrap w:val="0"/>
            <w:vAlign w:val="center"/>
          </w:tcPr>
          <w:p w14:paraId="65EFF4B9">
            <w:pPr>
              <w:tabs>
                <w:tab w:val="left" w:pos="480"/>
              </w:tabs>
              <w:spacing w:line="360" w:lineRule="auto"/>
              <w:jc w:val="center"/>
              <w:rPr>
                <w:rFonts w:ascii="仿宋" w:hAnsi="仿宋" w:eastAsia="仿宋"/>
                <w:color w:val="auto"/>
                <w:sz w:val="24"/>
                <w:highlight w:val="none"/>
              </w:rPr>
            </w:pPr>
            <w:r>
              <w:rPr>
                <w:rFonts w:hint="eastAsia" w:ascii="仿宋" w:hAnsi="仿宋" w:eastAsia="仿宋"/>
                <w:color w:val="auto"/>
                <w:sz w:val="24"/>
                <w:highlight w:val="none"/>
              </w:rPr>
              <w:t>名称</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91BF4F1">
            <w:pPr>
              <w:tabs>
                <w:tab w:val="left" w:pos="480"/>
              </w:tabs>
              <w:spacing w:line="360" w:lineRule="auto"/>
              <w:jc w:val="center"/>
              <w:rPr>
                <w:rFonts w:ascii="仿宋" w:hAnsi="仿宋" w:eastAsia="仿宋"/>
                <w:color w:val="auto"/>
                <w:sz w:val="24"/>
                <w:highlight w:val="none"/>
              </w:rPr>
            </w:pPr>
            <w:r>
              <w:rPr>
                <w:rFonts w:hint="eastAsia" w:ascii="仿宋" w:hAnsi="仿宋" w:eastAsia="仿宋"/>
                <w:color w:val="auto"/>
                <w:sz w:val="24"/>
                <w:highlight w:val="none"/>
              </w:rPr>
              <w:t>规格型号</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28E8C011">
            <w:pPr>
              <w:tabs>
                <w:tab w:val="left" w:pos="480"/>
              </w:tabs>
              <w:spacing w:line="360" w:lineRule="auto"/>
              <w:jc w:val="center"/>
              <w:rPr>
                <w:rFonts w:ascii="仿宋" w:hAnsi="仿宋" w:eastAsia="仿宋"/>
                <w:color w:val="auto"/>
                <w:sz w:val="24"/>
                <w:highlight w:val="none"/>
              </w:rPr>
            </w:pPr>
            <w:r>
              <w:rPr>
                <w:rFonts w:hint="eastAsia" w:ascii="仿宋" w:hAnsi="仿宋" w:eastAsia="仿宋"/>
                <w:color w:val="auto"/>
                <w:sz w:val="24"/>
                <w:highlight w:val="none"/>
              </w:rPr>
              <w:t>数量</w:t>
            </w:r>
          </w:p>
        </w:tc>
        <w:tc>
          <w:tcPr>
            <w:tcW w:w="891" w:type="dxa"/>
            <w:tcBorders>
              <w:top w:val="single" w:color="auto" w:sz="4" w:space="0"/>
              <w:left w:val="single" w:color="auto" w:sz="4" w:space="0"/>
              <w:bottom w:val="single" w:color="auto" w:sz="4" w:space="0"/>
              <w:right w:val="single" w:color="auto" w:sz="4" w:space="0"/>
            </w:tcBorders>
            <w:noWrap w:val="0"/>
            <w:vAlign w:val="center"/>
          </w:tcPr>
          <w:p w14:paraId="7380A541">
            <w:pPr>
              <w:tabs>
                <w:tab w:val="left" w:pos="480"/>
              </w:tabs>
              <w:spacing w:line="360" w:lineRule="auto"/>
              <w:jc w:val="center"/>
              <w:rPr>
                <w:rFonts w:ascii="仿宋" w:hAnsi="仿宋" w:eastAsia="仿宋"/>
                <w:color w:val="auto"/>
                <w:sz w:val="24"/>
                <w:highlight w:val="none"/>
              </w:rPr>
            </w:pPr>
            <w:r>
              <w:rPr>
                <w:rFonts w:hint="eastAsia" w:ascii="仿宋" w:hAnsi="仿宋" w:eastAsia="仿宋"/>
                <w:color w:val="auto"/>
                <w:sz w:val="24"/>
                <w:highlight w:val="none"/>
              </w:rPr>
              <w:t>产地</w:t>
            </w:r>
          </w:p>
        </w:tc>
        <w:tc>
          <w:tcPr>
            <w:tcW w:w="1334" w:type="dxa"/>
            <w:tcBorders>
              <w:top w:val="single" w:color="auto" w:sz="4" w:space="0"/>
              <w:left w:val="single" w:color="auto" w:sz="4" w:space="0"/>
              <w:bottom w:val="single" w:color="auto" w:sz="4" w:space="0"/>
              <w:right w:val="single" w:color="auto" w:sz="4" w:space="0"/>
            </w:tcBorders>
            <w:noWrap w:val="0"/>
            <w:vAlign w:val="top"/>
          </w:tcPr>
          <w:p w14:paraId="77DDCCB8">
            <w:pPr>
              <w:tabs>
                <w:tab w:val="left" w:pos="480"/>
              </w:tabs>
              <w:spacing w:line="360" w:lineRule="auto"/>
              <w:jc w:val="center"/>
              <w:rPr>
                <w:rFonts w:ascii="仿宋" w:hAnsi="仿宋" w:eastAsia="仿宋"/>
                <w:color w:val="auto"/>
                <w:sz w:val="24"/>
                <w:highlight w:val="none"/>
              </w:rPr>
            </w:pPr>
            <w:r>
              <w:rPr>
                <w:rFonts w:hint="eastAsia" w:ascii="仿宋" w:hAnsi="仿宋" w:eastAsia="仿宋"/>
                <w:color w:val="auto"/>
                <w:sz w:val="24"/>
                <w:highlight w:val="none"/>
              </w:rPr>
              <w:t>价格</w:t>
            </w:r>
          </w:p>
        </w:tc>
      </w:tr>
      <w:tr w14:paraId="3C975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732" w:type="dxa"/>
            <w:tcBorders>
              <w:top w:val="single" w:color="auto" w:sz="4" w:space="0"/>
              <w:left w:val="single" w:color="auto" w:sz="4" w:space="0"/>
              <w:bottom w:val="single" w:color="auto" w:sz="4" w:space="0"/>
              <w:right w:val="single" w:color="auto" w:sz="4" w:space="0"/>
            </w:tcBorders>
            <w:noWrap w:val="0"/>
            <w:vAlign w:val="center"/>
          </w:tcPr>
          <w:p w14:paraId="63B706E4">
            <w:pPr>
              <w:tabs>
                <w:tab w:val="left" w:pos="480"/>
              </w:tabs>
              <w:spacing w:line="360" w:lineRule="auto"/>
              <w:jc w:val="center"/>
              <w:rPr>
                <w:rFonts w:ascii="仿宋" w:hAnsi="仿宋" w:eastAsia="仿宋"/>
                <w:color w:val="auto"/>
                <w:sz w:val="24"/>
                <w:highlight w:val="none"/>
              </w:rPr>
            </w:pPr>
            <w:r>
              <w:rPr>
                <w:rFonts w:hint="eastAsia" w:ascii="仿宋" w:hAnsi="仿宋" w:eastAsia="仿宋"/>
                <w:color w:val="auto"/>
                <w:sz w:val="24"/>
                <w:highlight w:val="none"/>
              </w:rPr>
              <w:t>1</w:t>
            </w:r>
          </w:p>
        </w:tc>
        <w:tc>
          <w:tcPr>
            <w:tcW w:w="2260" w:type="dxa"/>
            <w:tcBorders>
              <w:top w:val="single" w:color="auto" w:sz="4" w:space="0"/>
              <w:left w:val="single" w:color="auto" w:sz="4" w:space="0"/>
              <w:bottom w:val="single" w:color="auto" w:sz="4" w:space="0"/>
              <w:right w:val="single" w:color="auto" w:sz="4" w:space="0"/>
            </w:tcBorders>
            <w:noWrap w:val="0"/>
            <w:vAlign w:val="center"/>
          </w:tcPr>
          <w:p w14:paraId="00555CED">
            <w:pPr>
              <w:spacing w:line="360" w:lineRule="auto"/>
              <w:jc w:val="center"/>
              <w:rPr>
                <w:rFonts w:ascii="仿宋" w:hAnsi="仿宋" w:eastAsia="仿宋"/>
                <w:color w:val="auto"/>
                <w:sz w:val="24"/>
                <w:highlight w:val="none"/>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E548EB8">
            <w:pPr>
              <w:spacing w:line="360" w:lineRule="auto"/>
              <w:jc w:val="center"/>
              <w:rPr>
                <w:rFonts w:hint="eastAsia" w:ascii="仿宋" w:hAnsi="仿宋" w:eastAsia="仿宋"/>
                <w:color w:val="auto"/>
                <w:sz w:val="24"/>
                <w:highlight w:val="none"/>
                <w:lang w:val="en-US" w:eastAsia="zh-CN"/>
              </w:rPr>
            </w:pPr>
            <w:r>
              <w:rPr>
                <w:rFonts w:hint="eastAsia" w:ascii="仿宋" w:hAnsi="仿宋" w:eastAsia="仿宋"/>
                <w:color w:val="auto"/>
                <w:sz w:val="24"/>
                <w:highlight w:val="none"/>
                <w:lang w:val="en-US" w:eastAsia="zh-CN"/>
              </w:rPr>
              <w:t>/</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32D15BB0">
            <w:pPr>
              <w:spacing w:line="360" w:lineRule="auto"/>
              <w:jc w:val="center"/>
              <w:rPr>
                <w:rFonts w:hint="eastAsia" w:ascii="仿宋" w:hAnsi="仿宋" w:eastAsia="仿宋"/>
                <w:color w:val="auto"/>
                <w:sz w:val="24"/>
                <w:highlight w:val="none"/>
                <w:lang w:val="en-US" w:eastAsia="zh-CN"/>
              </w:rPr>
            </w:pPr>
          </w:p>
        </w:tc>
        <w:tc>
          <w:tcPr>
            <w:tcW w:w="891" w:type="dxa"/>
            <w:tcBorders>
              <w:top w:val="single" w:color="auto" w:sz="4" w:space="0"/>
              <w:left w:val="single" w:color="auto" w:sz="4" w:space="0"/>
              <w:bottom w:val="single" w:color="auto" w:sz="4" w:space="0"/>
              <w:right w:val="single" w:color="auto" w:sz="4" w:space="0"/>
            </w:tcBorders>
            <w:noWrap w:val="0"/>
            <w:vAlign w:val="center"/>
          </w:tcPr>
          <w:p w14:paraId="47FCA9A3">
            <w:pPr>
              <w:spacing w:line="360" w:lineRule="auto"/>
              <w:jc w:val="center"/>
              <w:rPr>
                <w:rFonts w:hint="eastAsia" w:ascii="仿宋" w:hAnsi="仿宋" w:eastAsia="仿宋"/>
                <w:color w:val="auto"/>
                <w:sz w:val="24"/>
                <w:highlight w:val="none"/>
                <w:lang w:val="en-US" w:eastAsia="zh-CN"/>
              </w:rPr>
            </w:pPr>
            <w:r>
              <w:rPr>
                <w:rFonts w:hint="eastAsia" w:ascii="仿宋" w:hAnsi="仿宋" w:eastAsia="仿宋"/>
                <w:color w:val="auto"/>
                <w:sz w:val="24"/>
                <w:highlight w:val="none"/>
                <w:lang w:val="en-US" w:eastAsia="zh-CN"/>
              </w:rPr>
              <w:t>/</w:t>
            </w:r>
          </w:p>
        </w:tc>
        <w:tc>
          <w:tcPr>
            <w:tcW w:w="1334" w:type="dxa"/>
            <w:tcBorders>
              <w:top w:val="single" w:color="auto" w:sz="4" w:space="0"/>
              <w:left w:val="single" w:color="auto" w:sz="4" w:space="0"/>
              <w:bottom w:val="single" w:color="auto" w:sz="4" w:space="0"/>
              <w:right w:val="single" w:color="auto" w:sz="4" w:space="0"/>
            </w:tcBorders>
            <w:noWrap w:val="0"/>
            <w:vAlign w:val="top"/>
          </w:tcPr>
          <w:p w14:paraId="76BB76CA">
            <w:pPr>
              <w:tabs>
                <w:tab w:val="left" w:pos="480"/>
              </w:tabs>
              <w:spacing w:line="360" w:lineRule="auto"/>
              <w:jc w:val="center"/>
              <w:rPr>
                <w:rFonts w:hint="default" w:ascii="仿宋" w:hAnsi="仿宋" w:eastAsia="仿宋"/>
                <w:color w:val="auto"/>
                <w:sz w:val="24"/>
                <w:highlight w:val="none"/>
                <w:lang w:val="en-US" w:eastAsia="zh-CN"/>
              </w:rPr>
            </w:pPr>
          </w:p>
        </w:tc>
      </w:tr>
      <w:tr w14:paraId="7B485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2" w:type="dxa"/>
            <w:tcBorders>
              <w:top w:val="single" w:color="auto" w:sz="4" w:space="0"/>
              <w:left w:val="single" w:color="auto" w:sz="4" w:space="0"/>
              <w:bottom w:val="single" w:color="auto" w:sz="4" w:space="0"/>
              <w:right w:val="single" w:color="auto" w:sz="4" w:space="0"/>
            </w:tcBorders>
            <w:noWrap w:val="0"/>
            <w:vAlign w:val="center"/>
          </w:tcPr>
          <w:p w14:paraId="0D5731B8">
            <w:pPr>
              <w:tabs>
                <w:tab w:val="left" w:pos="480"/>
              </w:tabs>
              <w:spacing w:line="360" w:lineRule="auto"/>
              <w:jc w:val="center"/>
              <w:rPr>
                <w:rFonts w:ascii="仿宋" w:hAnsi="仿宋" w:eastAsia="仿宋"/>
                <w:color w:val="auto"/>
                <w:sz w:val="24"/>
                <w:highlight w:val="none"/>
              </w:rPr>
            </w:pPr>
            <w:r>
              <w:rPr>
                <w:rFonts w:hint="eastAsia" w:ascii="仿宋" w:hAnsi="仿宋" w:eastAsia="仿宋"/>
                <w:color w:val="auto"/>
                <w:sz w:val="24"/>
                <w:highlight w:val="none"/>
              </w:rPr>
              <w:t>说明</w:t>
            </w:r>
          </w:p>
        </w:tc>
        <w:tc>
          <w:tcPr>
            <w:tcW w:w="7887" w:type="dxa"/>
            <w:gridSpan w:val="5"/>
            <w:tcBorders>
              <w:top w:val="single" w:color="auto" w:sz="4" w:space="0"/>
              <w:left w:val="single" w:color="auto" w:sz="4" w:space="0"/>
              <w:bottom w:val="single" w:color="auto" w:sz="4" w:space="0"/>
              <w:right w:val="single" w:color="auto" w:sz="4" w:space="0"/>
            </w:tcBorders>
            <w:noWrap w:val="0"/>
            <w:vAlign w:val="center"/>
          </w:tcPr>
          <w:p w14:paraId="057FAD13">
            <w:pPr>
              <w:tabs>
                <w:tab w:val="left" w:pos="480"/>
              </w:tabs>
              <w:spacing w:line="360" w:lineRule="auto"/>
              <w:rPr>
                <w:rFonts w:ascii="仿宋" w:hAnsi="仿宋" w:eastAsia="仿宋"/>
                <w:color w:val="auto"/>
                <w:sz w:val="24"/>
                <w:highlight w:val="none"/>
              </w:rPr>
            </w:pPr>
            <w:r>
              <w:rPr>
                <w:rFonts w:hint="eastAsia" w:ascii="仿宋" w:hAnsi="仿宋" w:eastAsia="仿宋"/>
                <w:color w:val="auto"/>
                <w:sz w:val="24"/>
                <w:highlight w:val="none"/>
              </w:rPr>
              <w:t>配套设备、资料按照乙方响应文件承诺执行。</w:t>
            </w:r>
          </w:p>
        </w:tc>
      </w:tr>
    </w:tbl>
    <w:p w14:paraId="46C55D44">
      <w:pPr>
        <w:tabs>
          <w:tab w:val="left" w:pos="480"/>
        </w:tabs>
        <w:spacing w:line="360" w:lineRule="auto"/>
        <w:ind w:firstLine="472" w:firstLineChars="196"/>
        <w:rPr>
          <w:rFonts w:ascii="仿宋" w:hAnsi="仿宋" w:eastAsia="仿宋"/>
          <w:b/>
          <w:color w:val="auto"/>
          <w:sz w:val="24"/>
          <w:highlight w:val="none"/>
        </w:rPr>
      </w:pPr>
      <w:r>
        <w:rPr>
          <w:rFonts w:hint="eastAsia" w:ascii="仿宋" w:hAnsi="仿宋" w:eastAsia="仿宋"/>
          <w:b/>
          <w:color w:val="auto"/>
          <w:sz w:val="24"/>
          <w:highlight w:val="none"/>
        </w:rPr>
        <w:t>二、合同价款</w:t>
      </w:r>
    </w:p>
    <w:p w14:paraId="23147859">
      <w:pPr>
        <w:tabs>
          <w:tab w:val="left" w:pos="480"/>
        </w:tabs>
        <w:spacing w:line="360" w:lineRule="auto"/>
        <w:ind w:firstLine="480" w:firstLineChars="200"/>
        <w:rPr>
          <w:rFonts w:ascii="仿宋" w:hAnsi="仿宋" w:eastAsia="仿宋"/>
          <w:color w:val="auto"/>
          <w:sz w:val="24"/>
          <w:highlight w:val="none"/>
        </w:rPr>
      </w:pPr>
      <w:r>
        <w:rPr>
          <w:rFonts w:hint="eastAsia" w:ascii="仿宋" w:hAnsi="仿宋" w:eastAsia="仿宋"/>
          <w:color w:val="auto"/>
          <w:sz w:val="24"/>
          <w:highlight w:val="none"/>
        </w:rPr>
        <w:t>（一）合同总价款为人民币（大写）</w:t>
      </w:r>
      <w:r>
        <w:rPr>
          <w:rFonts w:hint="eastAsia" w:ascii="仿宋" w:hAnsi="仿宋" w:eastAsia="仿宋"/>
          <w:color w:val="auto"/>
          <w:sz w:val="24"/>
          <w:highlight w:val="none"/>
          <w:u w:val="single"/>
          <w:lang w:val="en-US" w:eastAsia="zh-CN"/>
        </w:rPr>
        <w:t xml:space="preserve">            </w:t>
      </w:r>
      <w:r>
        <w:rPr>
          <w:rFonts w:hint="eastAsia" w:ascii="仿宋" w:hAnsi="仿宋" w:eastAsia="仿宋"/>
          <w:color w:val="auto"/>
          <w:sz w:val="24"/>
          <w:highlight w:val="none"/>
        </w:rPr>
        <w:t>元整。</w:t>
      </w:r>
    </w:p>
    <w:p w14:paraId="255577C3">
      <w:pPr>
        <w:tabs>
          <w:tab w:val="left" w:pos="480"/>
        </w:tabs>
        <w:spacing w:line="360" w:lineRule="auto"/>
        <w:ind w:firstLine="480" w:firstLineChars="200"/>
        <w:rPr>
          <w:rFonts w:ascii="仿宋" w:hAnsi="仿宋" w:eastAsia="仿宋"/>
          <w:color w:val="auto"/>
          <w:sz w:val="24"/>
          <w:highlight w:val="none"/>
        </w:rPr>
      </w:pPr>
      <w:r>
        <w:rPr>
          <w:rFonts w:hint="eastAsia" w:ascii="仿宋" w:hAnsi="仿宋" w:eastAsia="仿宋"/>
          <w:color w:val="auto"/>
          <w:sz w:val="24"/>
          <w:highlight w:val="none"/>
        </w:rPr>
        <w:t>（二）合同总价包</w:t>
      </w:r>
      <w:r>
        <w:rPr>
          <w:rFonts w:hint="eastAsia" w:ascii="仿宋" w:hAnsi="仿宋" w:eastAsia="仿宋" w:cs="Times New Roman"/>
          <w:color w:val="auto"/>
          <w:sz w:val="24"/>
          <w:highlight w:val="none"/>
        </w:rPr>
        <w:t>括：</w:t>
      </w:r>
      <w:r>
        <w:rPr>
          <w:rFonts w:hint="eastAsia" w:ascii="仿宋" w:hAnsi="仿宋" w:eastAsia="仿宋" w:cs="Times New Roman"/>
          <w:color w:val="auto"/>
          <w:sz w:val="24"/>
          <w:highlight w:val="none"/>
          <w:lang w:val="en-US" w:eastAsia="zh-CN"/>
        </w:rPr>
        <w:t>系统研发、安装、调试、测试、培训</w:t>
      </w:r>
      <w:r>
        <w:rPr>
          <w:rFonts w:hint="eastAsia" w:ascii="仿宋" w:hAnsi="仿宋" w:eastAsia="仿宋" w:cs="Times New Roman"/>
          <w:color w:val="auto"/>
          <w:sz w:val="24"/>
          <w:highlight w:val="none"/>
        </w:rPr>
        <w:t>及其它</w:t>
      </w:r>
      <w:r>
        <w:rPr>
          <w:rFonts w:hint="eastAsia" w:ascii="仿宋" w:hAnsi="仿宋" w:eastAsia="仿宋"/>
          <w:color w:val="auto"/>
          <w:sz w:val="24"/>
          <w:highlight w:val="none"/>
        </w:rPr>
        <w:t>乙方履行合同义务所需的全部费用。</w:t>
      </w:r>
    </w:p>
    <w:p w14:paraId="183EC061">
      <w:pPr>
        <w:tabs>
          <w:tab w:val="left" w:pos="480"/>
        </w:tabs>
        <w:spacing w:line="360" w:lineRule="auto"/>
        <w:ind w:firstLine="480" w:firstLineChars="200"/>
        <w:rPr>
          <w:rFonts w:ascii="仿宋" w:hAnsi="仿宋" w:eastAsia="仿宋"/>
          <w:color w:val="auto"/>
          <w:sz w:val="24"/>
          <w:highlight w:val="none"/>
        </w:rPr>
      </w:pPr>
      <w:r>
        <w:rPr>
          <w:rFonts w:hint="eastAsia" w:ascii="仿宋" w:hAnsi="仿宋" w:eastAsia="仿宋"/>
          <w:color w:val="auto"/>
          <w:sz w:val="24"/>
          <w:highlight w:val="none"/>
        </w:rPr>
        <w:t>（三）合同总价一次性包死，不受市场价格变化因素的影响。</w:t>
      </w:r>
    </w:p>
    <w:p w14:paraId="171DC9BA">
      <w:pPr>
        <w:tabs>
          <w:tab w:val="left" w:pos="480"/>
        </w:tabs>
        <w:spacing w:line="360" w:lineRule="auto"/>
        <w:ind w:firstLine="472" w:firstLineChars="196"/>
        <w:rPr>
          <w:rFonts w:ascii="仿宋" w:hAnsi="仿宋" w:eastAsia="仿宋"/>
          <w:b/>
          <w:color w:val="auto"/>
          <w:sz w:val="24"/>
          <w:highlight w:val="none"/>
        </w:rPr>
      </w:pPr>
      <w:r>
        <w:rPr>
          <w:rFonts w:hint="eastAsia" w:ascii="仿宋" w:hAnsi="仿宋" w:eastAsia="仿宋"/>
          <w:b/>
          <w:color w:val="auto"/>
          <w:sz w:val="24"/>
          <w:highlight w:val="none"/>
        </w:rPr>
        <w:t>三、款项结算</w:t>
      </w:r>
    </w:p>
    <w:p w14:paraId="0F172606">
      <w:pPr>
        <w:pStyle w:val="10"/>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en-US" w:eastAsia="zh-CN"/>
        </w:rPr>
        <w:t>合同签订后30日内支付合同总价款的40%；项目交付并通过验收后30日内支付合同总价款的60%；</w:t>
      </w:r>
    </w:p>
    <w:p w14:paraId="654A172D">
      <w:pPr>
        <w:pStyle w:val="10"/>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（二）支付方式：银行转账。</w:t>
      </w:r>
      <w:r>
        <w:rPr>
          <w:rFonts w:hint="eastAsia" w:ascii="仿宋" w:hAnsi="仿宋" w:eastAsia="仿宋" w:cs="仿宋"/>
          <w:color w:val="auto"/>
          <w:sz w:val="24"/>
          <w:szCs w:val="24"/>
          <w:highlight w:val="none"/>
          <w:lang w:val="en-US" w:eastAsia="zh-CN"/>
        </w:rPr>
        <w:t>乙方账户信息如下：</w:t>
      </w:r>
    </w:p>
    <w:p w14:paraId="417759F1">
      <w:pPr>
        <w:pStyle w:val="10"/>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乙方账户名： </w:t>
      </w:r>
    </w:p>
    <w:p w14:paraId="5627DB40">
      <w:pPr>
        <w:pStyle w:val="10"/>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账      号： </w:t>
      </w:r>
    </w:p>
    <w:p w14:paraId="6BD1BDB4">
      <w:pPr>
        <w:pStyle w:val="10"/>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  户  行：</w:t>
      </w:r>
    </w:p>
    <w:p w14:paraId="705FF130">
      <w:pPr>
        <w:pStyle w:val="10"/>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（三）结算方式：乙方持发票（按合同总价值开具），中标通知书、本合同、发票复印件、项目验收单，与甲方办理资金结算手续。乙方未按照约定提供发票时，甲方有权拒付费用且不承担任何责任。</w:t>
      </w:r>
    </w:p>
    <w:p w14:paraId="0076E428">
      <w:pPr>
        <w:tabs>
          <w:tab w:val="left" w:pos="480"/>
        </w:tabs>
        <w:spacing w:line="360" w:lineRule="auto"/>
        <w:ind w:firstLine="472" w:firstLineChars="196"/>
        <w:rPr>
          <w:rFonts w:ascii="仿宋" w:hAnsi="仿宋" w:eastAsia="仿宋"/>
          <w:b/>
          <w:color w:val="auto"/>
          <w:sz w:val="24"/>
          <w:highlight w:val="none"/>
        </w:rPr>
      </w:pPr>
      <w:r>
        <w:rPr>
          <w:rFonts w:hint="eastAsia" w:ascii="仿宋" w:hAnsi="仿宋" w:eastAsia="仿宋"/>
          <w:b/>
          <w:color w:val="auto"/>
          <w:sz w:val="24"/>
          <w:highlight w:val="none"/>
        </w:rPr>
        <w:t>四、双方的权利和义务</w:t>
      </w:r>
    </w:p>
    <w:p w14:paraId="3C307A8A">
      <w:pPr>
        <w:spacing w:line="360" w:lineRule="auto"/>
        <w:ind w:firstLine="240" w:firstLineChars="100"/>
        <w:rPr>
          <w:rFonts w:ascii="仿宋" w:hAnsi="仿宋" w:eastAsia="仿宋" w:cs="Times New Roman"/>
          <w:color w:val="auto"/>
          <w:sz w:val="24"/>
          <w:highlight w:val="none"/>
        </w:rPr>
      </w:pPr>
      <w:r>
        <w:rPr>
          <w:rFonts w:hint="eastAsia" w:ascii="仿宋" w:hAnsi="仿宋" w:eastAsia="仿宋" w:cs="Times New Roman"/>
          <w:color w:val="auto"/>
          <w:sz w:val="24"/>
          <w:highlight w:val="none"/>
        </w:rPr>
        <w:t>（一）甲方的权利和义务</w:t>
      </w:r>
    </w:p>
    <w:p w14:paraId="355BDEF5">
      <w:pPr>
        <w:spacing w:line="360" w:lineRule="auto"/>
        <w:ind w:firstLine="600" w:firstLineChars="250"/>
        <w:rPr>
          <w:rFonts w:ascii="仿宋" w:hAnsi="仿宋" w:eastAsia="仿宋" w:cs="Times New Roman"/>
          <w:color w:val="auto"/>
          <w:sz w:val="24"/>
          <w:highlight w:val="none"/>
        </w:rPr>
      </w:pPr>
      <w:r>
        <w:rPr>
          <w:rFonts w:hint="eastAsia" w:ascii="仿宋" w:hAnsi="仿宋" w:eastAsia="仿宋" w:cs="Times New Roman"/>
          <w:color w:val="auto"/>
          <w:sz w:val="24"/>
          <w:highlight w:val="none"/>
        </w:rPr>
        <w:t>1、产品性能必须与其标示的技术指标相符合，甲方有权在产品的有效保证期内依据技术指标对该产品进行技术验收，其主要的技术参数达不到标准时，甲方有权依据有关法律索赔。</w:t>
      </w:r>
    </w:p>
    <w:p w14:paraId="41D7F171">
      <w:pPr>
        <w:snapToGrid w:val="0"/>
        <w:spacing w:line="360" w:lineRule="auto"/>
        <w:ind w:firstLine="616" w:firstLineChars="257"/>
        <w:rPr>
          <w:rFonts w:ascii="仿宋" w:hAnsi="仿宋" w:eastAsia="仿宋" w:cs="Times New Roman"/>
          <w:color w:val="auto"/>
          <w:sz w:val="24"/>
          <w:highlight w:val="none"/>
        </w:rPr>
      </w:pPr>
      <w:r>
        <w:rPr>
          <w:rFonts w:hint="eastAsia" w:ascii="仿宋" w:hAnsi="仿宋" w:eastAsia="仿宋" w:cs="Times New Roman"/>
          <w:color w:val="auto"/>
          <w:sz w:val="24"/>
          <w:highlight w:val="none"/>
        </w:rPr>
        <w:t>2、质保期内，乙方在接到甲方故障报修后提供</w:t>
      </w:r>
      <w:r>
        <w:rPr>
          <w:rFonts w:hint="eastAsia" w:ascii="仿宋" w:hAnsi="仿宋" w:eastAsia="仿宋" w:cs="Times New Roman"/>
          <w:color w:val="auto"/>
          <w:sz w:val="24"/>
          <w:highlight w:val="none"/>
          <w:u w:val="single"/>
          <w:lang w:val="en-US" w:eastAsia="zh-CN"/>
        </w:rPr>
        <w:t xml:space="preserve"> 30 </w:t>
      </w:r>
      <w:r>
        <w:rPr>
          <w:rFonts w:hint="eastAsia" w:ascii="仿宋" w:hAnsi="仿宋" w:eastAsia="仿宋" w:cs="Times New Roman"/>
          <w:color w:val="auto"/>
          <w:sz w:val="24"/>
          <w:highlight w:val="none"/>
        </w:rPr>
        <w:t>分钟远程响应，一般问题</w:t>
      </w:r>
      <w:r>
        <w:rPr>
          <w:rFonts w:hint="eastAsia" w:ascii="仿宋" w:hAnsi="仿宋" w:eastAsia="仿宋" w:cs="Times New Roman"/>
          <w:color w:val="auto"/>
          <w:sz w:val="24"/>
          <w:highlight w:val="none"/>
          <w:u w:val="single"/>
        </w:rPr>
        <w:t xml:space="preserve"> 2 </w:t>
      </w:r>
      <w:r>
        <w:rPr>
          <w:rFonts w:hint="eastAsia" w:ascii="仿宋" w:hAnsi="仿宋" w:eastAsia="仿宋" w:cs="Times New Roman"/>
          <w:color w:val="auto"/>
          <w:sz w:val="24"/>
          <w:highlight w:val="none"/>
        </w:rPr>
        <w:t>小时内解决，</w:t>
      </w:r>
      <w:r>
        <w:rPr>
          <w:rFonts w:hint="eastAsia" w:ascii="仿宋" w:hAnsi="仿宋" w:eastAsia="仿宋" w:cs="Times New Roman"/>
          <w:color w:val="auto"/>
          <w:sz w:val="24"/>
          <w:highlight w:val="none"/>
          <w:lang w:val="en-US" w:eastAsia="zh-CN"/>
        </w:rPr>
        <w:t>排除故障时间最长不超过</w:t>
      </w:r>
      <w:r>
        <w:rPr>
          <w:rFonts w:hint="eastAsia" w:ascii="仿宋" w:hAnsi="仿宋" w:eastAsia="仿宋" w:cs="Times New Roman"/>
          <w:color w:val="auto"/>
          <w:sz w:val="24"/>
          <w:highlight w:val="none"/>
          <w:u w:val="single"/>
          <w:lang w:val="en-US" w:eastAsia="zh-CN"/>
        </w:rPr>
        <w:t>48</w:t>
      </w:r>
      <w:r>
        <w:rPr>
          <w:rFonts w:hint="eastAsia" w:ascii="仿宋" w:hAnsi="仿宋" w:eastAsia="仿宋" w:cs="Times New Roman"/>
          <w:color w:val="auto"/>
          <w:sz w:val="24"/>
          <w:highlight w:val="none"/>
          <w:u w:val="none"/>
          <w:lang w:val="en-US" w:eastAsia="zh-CN"/>
        </w:rPr>
        <w:t>小时</w:t>
      </w:r>
      <w:r>
        <w:rPr>
          <w:rFonts w:hint="eastAsia" w:ascii="仿宋" w:hAnsi="仿宋" w:eastAsia="仿宋" w:cs="Times New Roman"/>
          <w:color w:val="auto"/>
          <w:sz w:val="24"/>
          <w:highlight w:val="none"/>
        </w:rPr>
        <w:t>。</w:t>
      </w:r>
      <w:r>
        <w:rPr>
          <w:rFonts w:hint="eastAsia" w:ascii="仿宋" w:hAnsi="仿宋" w:eastAsia="仿宋" w:cs="Times New Roman"/>
          <w:color w:val="auto"/>
          <w:sz w:val="24"/>
          <w:highlight w:val="none"/>
          <w:lang w:val="en-US" w:eastAsia="zh-CN"/>
        </w:rPr>
        <w:t>系统出现突发故障导致业务中止且无法通过远程方式解决或用户有紧急业务需求时，立即派出工作人员抵达现场，到达现场时间不超过</w:t>
      </w:r>
      <w:r>
        <w:rPr>
          <w:rFonts w:hint="eastAsia" w:ascii="仿宋" w:hAnsi="仿宋" w:eastAsia="仿宋" w:cs="Times New Roman"/>
          <w:color w:val="auto"/>
          <w:sz w:val="24"/>
          <w:highlight w:val="none"/>
          <w:u w:val="single"/>
          <w:lang w:val="en-US" w:eastAsia="zh-CN"/>
        </w:rPr>
        <w:t>4</w:t>
      </w:r>
      <w:r>
        <w:rPr>
          <w:rFonts w:hint="eastAsia" w:ascii="仿宋" w:hAnsi="仿宋" w:eastAsia="仿宋" w:cs="Times New Roman"/>
          <w:color w:val="auto"/>
          <w:sz w:val="24"/>
          <w:highlight w:val="none"/>
          <w:u w:val="none"/>
          <w:lang w:val="en-US" w:eastAsia="zh-CN"/>
        </w:rPr>
        <w:t>小时</w:t>
      </w:r>
      <w:r>
        <w:rPr>
          <w:rFonts w:hint="eastAsia" w:ascii="仿宋" w:hAnsi="仿宋" w:eastAsia="仿宋" w:cs="Times New Roman"/>
          <w:color w:val="auto"/>
          <w:sz w:val="24"/>
          <w:highlight w:val="none"/>
          <w:u w:val="none"/>
          <w:lang w:eastAsia="zh-CN"/>
        </w:rPr>
        <w:t>。</w:t>
      </w:r>
      <w:r>
        <w:rPr>
          <w:rFonts w:hint="eastAsia" w:ascii="仿宋" w:hAnsi="仿宋" w:eastAsia="仿宋" w:cs="Times New Roman"/>
          <w:color w:val="auto"/>
          <w:sz w:val="24"/>
          <w:highlight w:val="none"/>
        </w:rPr>
        <w:t>否则甲方有权指定第三方维修，维修费用由乙方承担。</w:t>
      </w:r>
    </w:p>
    <w:p w14:paraId="39279C5D">
      <w:pPr>
        <w:snapToGrid w:val="0"/>
        <w:spacing w:line="360" w:lineRule="auto"/>
        <w:ind w:firstLine="616" w:firstLineChars="257"/>
        <w:rPr>
          <w:rFonts w:hint="eastAsia" w:ascii="仿宋" w:hAnsi="仿宋" w:eastAsia="仿宋" w:cs="Times New Roman"/>
          <w:color w:val="auto"/>
          <w:sz w:val="24"/>
          <w:highlight w:val="none"/>
        </w:rPr>
      </w:pPr>
      <w:r>
        <w:rPr>
          <w:rFonts w:hint="eastAsia" w:ascii="仿宋" w:hAnsi="仿宋" w:eastAsia="仿宋" w:cs="Times New Roman"/>
          <w:color w:val="auto"/>
          <w:sz w:val="24"/>
          <w:highlight w:val="none"/>
        </w:rPr>
        <w:t>3、甲方负责提供系统安装、调试及系统运行所需的电路接入、机房环境、通信线路、系统安全设施等运行所依赖的环境。</w:t>
      </w:r>
    </w:p>
    <w:p w14:paraId="4494F870">
      <w:pPr>
        <w:snapToGrid w:val="0"/>
        <w:spacing w:line="360" w:lineRule="auto"/>
        <w:ind w:firstLine="616" w:firstLineChars="257"/>
        <w:rPr>
          <w:rFonts w:hint="eastAsia" w:ascii="仿宋" w:hAnsi="仿宋" w:eastAsia="仿宋" w:cs="Times New Roman"/>
          <w:color w:val="auto"/>
          <w:sz w:val="24"/>
          <w:highlight w:val="none"/>
        </w:rPr>
      </w:pPr>
      <w:r>
        <w:rPr>
          <w:rFonts w:hint="eastAsia" w:ascii="仿宋" w:hAnsi="仿宋" w:eastAsia="仿宋" w:cs="Times New Roman"/>
          <w:color w:val="auto"/>
          <w:sz w:val="24"/>
          <w:highlight w:val="none"/>
        </w:rPr>
        <w:t>4、甲方应配合乙方维护人员进行日常性系统管理和数据维护，与乙方技术人员一起完成维护工作，以保持系统运行在最佳状态。</w:t>
      </w:r>
    </w:p>
    <w:p w14:paraId="43F63912">
      <w:pPr>
        <w:snapToGrid w:val="0"/>
        <w:spacing w:line="360" w:lineRule="auto"/>
        <w:ind w:firstLine="616" w:firstLineChars="257"/>
        <w:rPr>
          <w:rFonts w:ascii="仿宋" w:hAnsi="仿宋" w:eastAsia="仿宋" w:cs="Times New Roman"/>
          <w:color w:val="auto"/>
          <w:sz w:val="24"/>
          <w:highlight w:val="none"/>
        </w:rPr>
      </w:pPr>
      <w:r>
        <w:rPr>
          <w:rFonts w:hint="eastAsia" w:ascii="仿宋" w:hAnsi="仿宋" w:eastAsia="仿宋" w:cs="Times New Roman"/>
          <w:color w:val="auto"/>
          <w:sz w:val="24"/>
          <w:highlight w:val="none"/>
        </w:rPr>
        <w:t>5、甲方需指定一名工作人员作为代表与乙方配合，定期与乙方项目经理对本项目的进度进行沟通。如更换人员需提前3日通知乙方，以避免由于人员更迭造成的项目延期损失。</w:t>
      </w:r>
    </w:p>
    <w:p w14:paraId="31BFDA4D">
      <w:pPr>
        <w:spacing w:line="360" w:lineRule="auto"/>
        <w:ind w:firstLine="240" w:firstLineChars="100"/>
        <w:rPr>
          <w:rFonts w:ascii="仿宋" w:hAnsi="仿宋" w:eastAsia="仿宋" w:cs="Times New Roman"/>
          <w:color w:val="auto"/>
          <w:sz w:val="24"/>
          <w:highlight w:val="none"/>
        </w:rPr>
      </w:pPr>
      <w:r>
        <w:rPr>
          <w:rFonts w:hint="eastAsia" w:ascii="仿宋" w:hAnsi="仿宋" w:eastAsia="仿宋" w:cs="Times New Roman"/>
          <w:color w:val="auto"/>
          <w:sz w:val="24"/>
          <w:highlight w:val="none"/>
        </w:rPr>
        <w:t>（二）乙方的权利和义务</w:t>
      </w:r>
    </w:p>
    <w:p w14:paraId="5165F20C">
      <w:pPr>
        <w:spacing w:line="360" w:lineRule="auto"/>
        <w:ind w:firstLine="480" w:firstLineChars="200"/>
        <w:rPr>
          <w:rFonts w:ascii="仿宋" w:hAnsi="仿宋" w:eastAsia="仿宋" w:cs="Times New Roman"/>
          <w:color w:val="auto"/>
          <w:sz w:val="24"/>
          <w:highlight w:val="none"/>
        </w:rPr>
      </w:pPr>
      <w:r>
        <w:rPr>
          <w:rFonts w:ascii="仿宋" w:hAnsi="仿宋" w:eastAsia="仿宋" w:cs="Times New Roman"/>
          <w:color w:val="auto"/>
          <w:sz w:val="24"/>
          <w:highlight w:val="none"/>
        </w:rPr>
        <w:t>1</w:t>
      </w:r>
      <w:r>
        <w:rPr>
          <w:rFonts w:hint="eastAsia" w:ascii="仿宋" w:hAnsi="仿宋" w:eastAsia="仿宋" w:cs="Times New Roman"/>
          <w:color w:val="auto"/>
          <w:sz w:val="24"/>
          <w:highlight w:val="none"/>
        </w:rPr>
        <w:t>、乙方提供给甲方的产品必须是设计科学、技术成熟、工艺精良的合格产品。</w:t>
      </w:r>
    </w:p>
    <w:p w14:paraId="410C01D4">
      <w:pPr>
        <w:spacing w:line="360" w:lineRule="auto"/>
        <w:ind w:firstLine="480" w:firstLineChars="200"/>
        <w:rPr>
          <w:rFonts w:ascii="仿宋" w:hAnsi="仿宋" w:eastAsia="仿宋" w:cs="Times New Roman"/>
          <w:color w:val="auto"/>
          <w:sz w:val="24"/>
          <w:highlight w:val="none"/>
        </w:rPr>
      </w:pPr>
      <w:r>
        <w:rPr>
          <w:rFonts w:ascii="仿宋" w:hAnsi="仿宋" w:eastAsia="仿宋" w:cs="Times New Roman"/>
          <w:color w:val="auto"/>
          <w:sz w:val="24"/>
          <w:highlight w:val="none"/>
        </w:rPr>
        <w:t>2</w:t>
      </w:r>
      <w:r>
        <w:rPr>
          <w:rFonts w:hint="eastAsia" w:ascii="仿宋" w:hAnsi="仿宋" w:eastAsia="仿宋" w:cs="Times New Roman"/>
          <w:color w:val="auto"/>
          <w:sz w:val="24"/>
          <w:highlight w:val="none"/>
        </w:rPr>
        <w:t>、乙方提供给甲方的产品相关知识产权均应符合我国的有关法律及行业标准，凡因以上问题与第三方发生的任何纠纷均与甲方无关，由乙方负责协调处理并承担全部赔偿责任。甲方因此被索赔时有权向乙方追偿。</w:t>
      </w:r>
    </w:p>
    <w:p w14:paraId="4CF01DA5">
      <w:pPr>
        <w:spacing w:line="360" w:lineRule="auto"/>
        <w:ind w:firstLine="480" w:firstLineChars="200"/>
        <w:rPr>
          <w:rFonts w:ascii="仿宋" w:hAnsi="仿宋" w:eastAsia="仿宋" w:cs="Times New Roman"/>
          <w:color w:val="auto"/>
          <w:sz w:val="24"/>
          <w:highlight w:val="none"/>
        </w:rPr>
      </w:pPr>
      <w:r>
        <w:rPr>
          <w:rFonts w:ascii="仿宋" w:hAnsi="仿宋" w:eastAsia="仿宋" w:cs="Times New Roman"/>
          <w:color w:val="auto"/>
          <w:sz w:val="24"/>
          <w:highlight w:val="none"/>
        </w:rPr>
        <w:t>3</w:t>
      </w:r>
      <w:r>
        <w:rPr>
          <w:rFonts w:hint="eastAsia" w:ascii="仿宋" w:hAnsi="仿宋" w:eastAsia="仿宋" w:cs="Times New Roman"/>
          <w:color w:val="auto"/>
          <w:sz w:val="24"/>
          <w:highlight w:val="none"/>
        </w:rPr>
        <w:t>、乙方提供给甲方的产品在正常使用下不应对甲方现有设备设施、储存的数据造成损害，否则应当就甲方损失承担全部赔偿责任。</w:t>
      </w:r>
    </w:p>
    <w:p w14:paraId="52A87BBF">
      <w:pPr>
        <w:spacing w:line="360" w:lineRule="auto"/>
        <w:ind w:firstLine="480" w:firstLineChars="200"/>
        <w:rPr>
          <w:rFonts w:hint="eastAsia" w:ascii="仿宋" w:hAnsi="仿宋" w:eastAsia="仿宋" w:cs="Times New Roman"/>
          <w:color w:val="auto"/>
          <w:sz w:val="24"/>
          <w:highlight w:val="none"/>
        </w:rPr>
      </w:pPr>
      <w:r>
        <w:rPr>
          <w:rFonts w:hint="eastAsia" w:ascii="仿宋" w:hAnsi="仿宋" w:eastAsia="仿宋" w:cs="Times New Roman"/>
          <w:color w:val="auto"/>
          <w:sz w:val="24"/>
          <w:highlight w:val="none"/>
        </w:rPr>
        <w:t>4、乙方有义务在质保期内提供相关的技术服务与支持，对甲方需要的系统运营、维护、使用等方面事宜提供有关咨询解答服务。</w:t>
      </w:r>
    </w:p>
    <w:p w14:paraId="347EF91F">
      <w:pPr>
        <w:spacing w:line="360" w:lineRule="auto"/>
        <w:ind w:firstLine="480" w:firstLineChars="200"/>
        <w:rPr>
          <w:rFonts w:hint="eastAsia" w:ascii="仿宋" w:hAnsi="仿宋" w:eastAsia="仿宋" w:cs="Times New Roman"/>
          <w:color w:val="auto"/>
          <w:sz w:val="24"/>
          <w:highlight w:val="none"/>
        </w:rPr>
      </w:pPr>
      <w:r>
        <w:rPr>
          <w:rFonts w:hint="eastAsia" w:ascii="仿宋" w:hAnsi="仿宋" w:eastAsia="仿宋" w:cs="Times New Roman"/>
          <w:color w:val="auto"/>
          <w:sz w:val="24"/>
          <w:highlight w:val="none"/>
        </w:rPr>
        <w:t>5、乙方负责根据甲方的需求变更，在本合同界定的功能范围内适时进行系统的修改工作，如超出磋商文件和合同界定的功能范围，甲乙双方另行协商。</w:t>
      </w:r>
    </w:p>
    <w:p w14:paraId="65630AF8">
      <w:pPr>
        <w:spacing w:line="360" w:lineRule="auto"/>
        <w:ind w:firstLine="480" w:firstLineChars="200"/>
        <w:rPr>
          <w:rFonts w:hint="eastAsia" w:ascii="仿宋" w:hAnsi="仿宋" w:eastAsia="仿宋" w:cs="Times New Roman"/>
          <w:color w:val="auto"/>
          <w:sz w:val="24"/>
          <w:highlight w:val="none"/>
          <w:lang w:val="en-US" w:eastAsia="zh-CN"/>
        </w:rPr>
      </w:pPr>
      <w:r>
        <w:rPr>
          <w:rFonts w:hint="eastAsia" w:ascii="仿宋" w:hAnsi="仿宋" w:eastAsia="仿宋" w:cs="Times New Roman"/>
          <w:color w:val="auto"/>
          <w:sz w:val="24"/>
          <w:highlight w:val="none"/>
          <w:lang w:val="en-US" w:eastAsia="zh-CN"/>
        </w:rPr>
        <w:t>6、乙方及其工作人员应遵守和严格执行甲方规章制度和安保规定，不应因工作人员责任出现失窃或其他安全事故。甲方支付的服务费中已包含安全措施费等相关费用，乙方工作人员给甲方或任何第三方造成人身或财产损失的，甲方有权要求乙方赔偿，甲方因此遭遇索赔的，有权向乙方追偿。</w:t>
      </w:r>
    </w:p>
    <w:p w14:paraId="082A796D">
      <w:pPr>
        <w:spacing w:line="360" w:lineRule="auto"/>
        <w:rPr>
          <w:rFonts w:ascii="仿宋" w:hAnsi="仿宋" w:eastAsia="仿宋"/>
          <w:color w:val="auto"/>
          <w:sz w:val="24"/>
          <w:highlight w:val="none"/>
        </w:rPr>
      </w:pPr>
      <w:r>
        <w:rPr>
          <w:rFonts w:hint="eastAsia" w:ascii="仿宋" w:hAnsi="仿宋" w:eastAsia="仿宋"/>
          <w:color w:val="auto"/>
          <w:sz w:val="24"/>
          <w:highlight w:val="none"/>
        </w:rPr>
        <w:t xml:space="preserve">    </w:t>
      </w:r>
      <w:r>
        <w:rPr>
          <w:rFonts w:hint="eastAsia" w:ascii="仿宋" w:hAnsi="仿宋" w:eastAsia="仿宋"/>
          <w:b/>
          <w:color w:val="auto"/>
          <w:sz w:val="24"/>
          <w:highlight w:val="none"/>
        </w:rPr>
        <w:t>五、</w:t>
      </w:r>
      <w:r>
        <w:rPr>
          <w:rFonts w:hint="eastAsia" w:ascii="仿宋" w:hAnsi="仿宋" w:eastAsia="仿宋"/>
          <w:b/>
          <w:color w:val="auto"/>
          <w:sz w:val="24"/>
          <w:highlight w:val="none"/>
          <w:lang w:val="en-US" w:eastAsia="zh-CN"/>
        </w:rPr>
        <w:t>服务</w:t>
      </w:r>
      <w:r>
        <w:rPr>
          <w:rFonts w:hint="eastAsia" w:ascii="仿宋" w:hAnsi="仿宋" w:eastAsia="仿宋"/>
          <w:b/>
          <w:color w:val="auto"/>
          <w:sz w:val="24"/>
          <w:highlight w:val="none"/>
        </w:rPr>
        <w:t>条件：</w:t>
      </w:r>
    </w:p>
    <w:p w14:paraId="208028AF">
      <w:pPr>
        <w:tabs>
          <w:tab w:val="left" w:pos="480"/>
        </w:tabs>
        <w:spacing w:line="360" w:lineRule="auto"/>
        <w:ind w:firstLine="480" w:firstLineChars="200"/>
        <w:rPr>
          <w:rFonts w:ascii="仿宋" w:hAnsi="仿宋" w:eastAsia="仿宋"/>
          <w:color w:val="auto"/>
          <w:sz w:val="24"/>
          <w:highlight w:val="none"/>
        </w:rPr>
      </w:pPr>
      <w:r>
        <w:rPr>
          <w:rFonts w:hint="eastAsia" w:ascii="仿宋" w:hAnsi="仿宋" w:eastAsia="仿宋"/>
          <w:color w:val="auto"/>
          <w:sz w:val="24"/>
          <w:highlight w:val="none"/>
        </w:rPr>
        <w:t>（一）</w:t>
      </w:r>
      <w:r>
        <w:rPr>
          <w:rFonts w:hint="eastAsia" w:ascii="仿宋" w:hAnsi="仿宋" w:eastAsia="仿宋"/>
          <w:color w:val="auto"/>
          <w:sz w:val="24"/>
          <w:highlight w:val="none"/>
          <w:lang w:val="en-US" w:eastAsia="zh-CN"/>
        </w:rPr>
        <w:t>服务</w:t>
      </w:r>
      <w:r>
        <w:rPr>
          <w:rFonts w:hint="eastAsia" w:ascii="仿宋" w:hAnsi="仿宋" w:eastAsia="仿宋"/>
          <w:color w:val="auto"/>
          <w:sz w:val="24"/>
          <w:highlight w:val="none"/>
        </w:rPr>
        <w:t>地点：甲方指定地点。</w:t>
      </w:r>
    </w:p>
    <w:p w14:paraId="55CEB3A1">
      <w:pPr>
        <w:spacing w:line="360" w:lineRule="auto"/>
        <w:ind w:firstLine="480"/>
        <w:rPr>
          <w:rFonts w:ascii="宋体" w:hAnsi="宋体" w:cs="宋体"/>
          <w:color w:val="auto"/>
          <w:sz w:val="24"/>
          <w:highlight w:val="none"/>
        </w:rPr>
      </w:pPr>
      <w:r>
        <w:rPr>
          <w:rFonts w:hint="eastAsia" w:ascii="仿宋" w:hAnsi="仿宋" w:eastAsia="仿宋"/>
          <w:color w:val="auto"/>
          <w:sz w:val="24"/>
          <w:highlight w:val="none"/>
        </w:rPr>
        <w:t>（二）</w:t>
      </w:r>
      <w:r>
        <w:rPr>
          <w:rFonts w:hint="eastAsia" w:ascii="仿宋" w:hAnsi="仿宋" w:eastAsia="仿宋"/>
          <w:color w:val="auto"/>
          <w:sz w:val="24"/>
          <w:highlight w:val="none"/>
          <w:lang w:val="en-US" w:eastAsia="zh-CN"/>
        </w:rPr>
        <w:t>服务</w:t>
      </w:r>
      <w:r>
        <w:rPr>
          <w:rFonts w:hint="eastAsia" w:ascii="仿宋" w:hAnsi="仿宋" w:eastAsia="仿宋"/>
          <w:color w:val="auto"/>
          <w:sz w:val="24"/>
          <w:highlight w:val="none"/>
        </w:rPr>
        <w:t>期：合同签订后90个日历日内。</w:t>
      </w:r>
    </w:p>
    <w:p w14:paraId="305E75AC">
      <w:pPr>
        <w:tabs>
          <w:tab w:val="left" w:pos="480"/>
        </w:tabs>
        <w:spacing w:line="360" w:lineRule="auto"/>
        <w:ind w:firstLine="482" w:firstLineChars="200"/>
        <w:rPr>
          <w:rFonts w:ascii="仿宋" w:hAnsi="仿宋" w:eastAsia="仿宋"/>
          <w:b/>
          <w:color w:val="auto"/>
          <w:sz w:val="24"/>
          <w:highlight w:val="none"/>
        </w:rPr>
      </w:pPr>
      <w:r>
        <w:rPr>
          <w:rFonts w:hint="eastAsia" w:ascii="仿宋" w:hAnsi="仿宋" w:eastAsia="仿宋"/>
          <w:b/>
          <w:color w:val="auto"/>
          <w:sz w:val="24"/>
          <w:highlight w:val="none"/>
        </w:rPr>
        <w:t>六、运输</w:t>
      </w:r>
    </w:p>
    <w:p w14:paraId="419823F3">
      <w:pPr>
        <w:tabs>
          <w:tab w:val="left" w:pos="480"/>
        </w:tabs>
        <w:spacing w:line="360" w:lineRule="auto"/>
        <w:rPr>
          <w:rFonts w:ascii="仿宋" w:hAnsi="仿宋" w:eastAsia="仿宋"/>
          <w:color w:val="auto"/>
          <w:sz w:val="24"/>
          <w:highlight w:val="none"/>
        </w:rPr>
      </w:pPr>
      <w:r>
        <w:rPr>
          <w:rFonts w:hint="eastAsia" w:ascii="仿宋" w:hAnsi="仿宋" w:eastAsia="仿宋"/>
          <w:color w:val="auto"/>
          <w:sz w:val="24"/>
          <w:highlight w:val="none"/>
        </w:rPr>
        <w:tab/>
      </w:r>
      <w:r>
        <w:rPr>
          <w:rFonts w:hint="eastAsia" w:ascii="仿宋" w:hAnsi="仿宋" w:eastAsia="仿宋"/>
          <w:color w:val="auto"/>
          <w:sz w:val="24"/>
          <w:highlight w:val="none"/>
        </w:rPr>
        <w:t>（一）运输由乙方负责，运杂费已包含在合同总价内，包括从货物供应地点所含的运输费、装卸费、仓储费、保险费等。</w:t>
      </w:r>
    </w:p>
    <w:p w14:paraId="5B321C98">
      <w:pPr>
        <w:spacing w:line="360" w:lineRule="auto"/>
        <w:ind w:firstLine="420"/>
        <w:rPr>
          <w:rFonts w:hint="eastAsia" w:ascii="仿宋" w:hAnsi="仿宋" w:eastAsia="仿宋"/>
          <w:color w:val="auto"/>
          <w:sz w:val="24"/>
          <w:highlight w:val="none"/>
        </w:rPr>
      </w:pPr>
      <w:r>
        <w:rPr>
          <w:rFonts w:hint="eastAsia" w:ascii="仿宋" w:hAnsi="仿宋" w:eastAsia="仿宋"/>
          <w:color w:val="auto"/>
          <w:sz w:val="24"/>
          <w:highlight w:val="none"/>
        </w:rPr>
        <w:t>（二）运输方式由乙方自行选择，但必须保证按期交货。</w:t>
      </w:r>
    </w:p>
    <w:p w14:paraId="15256B6E">
      <w:pPr>
        <w:pStyle w:val="3"/>
        <w:rPr>
          <w:rFonts w:hint="eastAsia" w:ascii="仿宋" w:hAnsi="仿宋" w:eastAsia="仿宋" w:cs="Times New Roman"/>
          <w:color w:val="auto"/>
          <w:kern w:val="2"/>
          <w:sz w:val="24"/>
          <w:szCs w:val="20"/>
          <w:highlight w:val="none"/>
          <w:lang w:val="en-US" w:eastAsia="zh-CN" w:bidi="ar-SA"/>
        </w:rPr>
      </w:pPr>
      <w:r>
        <w:rPr>
          <w:rFonts w:hint="eastAsia"/>
          <w:color w:val="auto"/>
          <w:highlight w:val="none"/>
        </w:rPr>
        <w:tab/>
      </w:r>
      <w:r>
        <w:rPr>
          <w:rFonts w:hint="eastAsia" w:ascii="仿宋" w:hAnsi="仿宋" w:eastAsia="仿宋" w:cs="Times New Roman"/>
          <w:color w:val="auto"/>
          <w:kern w:val="2"/>
          <w:sz w:val="24"/>
          <w:szCs w:val="20"/>
          <w:highlight w:val="none"/>
          <w:lang w:val="en-US" w:eastAsia="zh-CN" w:bidi="ar-SA"/>
        </w:rPr>
        <w:t>（三）验收合格前货物毁损、灭失的风险由乙方承担。</w:t>
      </w:r>
    </w:p>
    <w:p w14:paraId="302AA5DC">
      <w:pPr>
        <w:tabs>
          <w:tab w:val="left" w:pos="480"/>
        </w:tabs>
        <w:spacing w:line="360" w:lineRule="auto"/>
        <w:ind w:firstLine="472" w:firstLineChars="196"/>
        <w:rPr>
          <w:rFonts w:ascii="仿宋" w:hAnsi="仿宋" w:eastAsia="仿宋"/>
          <w:b/>
          <w:color w:val="auto"/>
          <w:sz w:val="24"/>
          <w:highlight w:val="none"/>
        </w:rPr>
      </w:pPr>
      <w:r>
        <w:rPr>
          <w:rFonts w:hint="eastAsia" w:ascii="仿宋" w:hAnsi="仿宋" w:eastAsia="仿宋"/>
          <w:b/>
          <w:color w:val="auto"/>
          <w:sz w:val="24"/>
          <w:highlight w:val="none"/>
        </w:rPr>
        <w:t>七、质量保证</w:t>
      </w:r>
    </w:p>
    <w:p w14:paraId="71995DA4">
      <w:pPr>
        <w:tabs>
          <w:tab w:val="left" w:pos="480"/>
        </w:tabs>
        <w:spacing w:line="360" w:lineRule="auto"/>
        <w:ind w:firstLine="470" w:firstLineChars="196"/>
        <w:rPr>
          <w:rFonts w:ascii="仿宋" w:hAnsi="仿宋" w:eastAsia="仿宋"/>
          <w:color w:val="auto"/>
          <w:sz w:val="24"/>
          <w:highlight w:val="none"/>
        </w:rPr>
      </w:pPr>
      <w:r>
        <w:rPr>
          <w:rFonts w:hint="eastAsia" w:ascii="仿宋" w:hAnsi="仿宋" w:eastAsia="仿宋"/>
          <w:color w:val="auto"/>
          <w:sz w:val="24"/>
          <w:highlight w:val="none"/>
        </w:rPr>
        <w:t>乙方所供货物必须执行下列条款：</w:t>
      </w:r>
    </w:p>
    <w:p w14:paraId="6E112B28">
      <w:pPr>
        <w:tabs>
          <w:tab w:val="left" w:pos="480"/>
        </w:tabs>
        <w:spacing w:line="360" w:lineRule="auto"/>
        <w:ind w:firstLine="480" w:firstLineChars="200"/>
        <w:rPr>
          <w:rFonts w:ascii="仿宋" w:hAnsi="仿宋" w:eastAsia="仿宋"/>
          <w:color w:val="auto"/>
          <w:sz w:val="24"/>
          <w:highlight w:val="none"/>
        </w:rPr>
      </w:pPr>
      <w:r>
        <w:rPr>
          <w:rFonts w:hint="eastAsia" w:ascii="仿宋" w:hAnsi="仿宋" w:eastAsia="仿宋"/>
          <w:color w:val="auto"/>
          <w:sz w:val="24"/>
          <w:highlight w:val="none"/>
        </w:rPr>
        <w:t>（一）保证技术指标先进、质量性能可靠、进货渠道正常，配置合理，全面满足磋商文件要求。</w:t>
      </w:r>
    </w:p>
    <w:p w14:paraId="4B6DAEA1">
      <w:pPr>
        <w:tabs>
          <w:tab w:val="left" w:pos="480"/>
        </w:tabs>
        <w:spacing w:line="360" w:lineRule="auto"/>
        <w:ind w:firstLine="480" w:firstLineChars="200"/>
        <w:rPr>
          <w:rFonts w:ascii="仿宋" w:hAnsi="仿宋" w:eastAsia="仿宋"/>
          <w:color w:val="auto"/>
          <w:sz w:val="24"/>
          <w:highlight w:val="none"/>
        </w:rPr>
      </w:pPr>
      <w:r>
        <w:rPr>
          <w:rFonts w:hint="eastAsia" w:ascii="仿宋" w:hAnsi="仿宋" w:eastAsia="仿宋"/>
          <w:color w:val="auto"/>
          <w:sz w:val="24"/>
          <w:highlight w:val="none"/>
        </w:rPr>
        <w:t>（二）符合国家有关规范要求，确保达到最佳运行状态。</w:t>
      </w:r>
    </w:p>
    <w:p w14:paraId="5B351AB0">
      <w:pPr>
        <w:tabs>
          <w:tab w:val="left" w:pos="480"/>
        </w:tabs>
        <w:spacing w:line="360" w:lineRule="auto"/>
        <w:ind w:firstLine="480" w:firstLineChars="200"/>
        <w:rPr>
          <w:rFonts w:ascii="仿宋" w:hAnsi="仿宋" w:eastAsia="仿宋"/>
          <w:color w:val="auto"/>
          <w:sz w:val="24"/>
          <w:highlight w:val="none"/>
        </w:rPr>
      </w:pPr>
      <w:r>
        <w:rPr>
          <w:rFonts w:hint="eastAsia" w:ascii="仿宋" w:hAnsi="仿宋" w:eastAsia="仿宋"/>
          <w:color w:val="auto"/>
          <w:sz w:val="24"/>
          <w:highlight w:val="none"/>
        </w:rPr>
        <w:t>（三）具有良好的外观，适合安装场所的使用。</w:t>
      </w:r>
    </w:p>
    <w:p w14:paraId="5229739C">
      <w:pPr>
        <w:spacing w:line="360" w:lineRule="auto"/>
        <w:ind w:firstLine="482" w:firstLineChars="200"/>
        <w:rPr>
          <w:rFonts w:ascii="仿宋" w:hAnsi="仿宋" w:eastAsia="仿宋"/>
          <w:b/>
          <w:color w:val="auto"/>
          <w:sz w:val="24"/>
          <w:highlight w:val="none"/>
        </w:rPr>
      </w:pPr>
      <w:r>
        <w:rPr>
          <w:rFonts w:hint="eastAsia" w:ascii="仿宋" w:hAnsi="仿宋" w:eastAsia="仿宋"/>
          <w:b/>
          <w:color w:val="auto"/>
          <w:sz w:val="24"/>
          <w:highlight w:val="none"/>
        </w:rPr>
        <w:t>八、服务要求</w:t>
      </w:r>
    </w:p>
    <w:p w14:paraId="753F737D">
      <w:pPr>
        <w:pStyle w:val="11"/>
        <w:ind w:firstLine="480"/>
        <w:rPr>
          <w:rFonts w:ascii="仿宋" w:hAnsi="仿宋" w:eastAsia="仿宋"/>
          <w:color w:val="auto"/>
          <w:sz w:val="24"/>
          <w:szCs w:val="24"/>
          <w:highlight w:val="none"/>
          <w:lang w:val="en-US"/>
        </w:rPr>
      </w:pPr>
      <w:r>
        <w:rPr>
          <w:rFonts w:hint="eastAsia" w:ascii="仿宋" w:hAnsi="仿宋" w:eastAsia="仿宋"/>
          <w:color w:val="auto"/>
          <w:sz w:val="24"/>
          <w:highlight w:val="none"/>
        </w:rPr>
        <w:t>（一）</w:t>
      </w:r>
      <w:r>
        <w:rPr>
          <w:rFonts w:hint="eastAsia" w:ascii="仿宋" w:hAnsi="仿宋" w:eastAsia="仿宋"/>
          <w:color w:val="auto"/>
          <w:sz w:val="24"/>
          <w:szCs w:val="24"/>
          <w:highlight w:val="none"/>
          <w:lang w:val="en-US"/>
        </w:rPr>
        <w:t>乙方需具备良好的应急处理能力，质保期内接到甲方故障通知后30分钟内响应，需要进行现场支持的故障问题，4小时内委派专业技术人员到现场免费提供咨询、维修等服务；</w:t>
      </w:r>
    </w:p>
    <w:p w14:paraId="20E23459">
      <w:pPr>
        <w:pStyle w:val="11"/>
        <w:ind w:firstLine="480"/>
        <w:rPr>
          <w:rFonts w:ascii="仿宋" w:hAnsi="仿宋" w:eastAsia="仿宋"/>
          <w:color w:val="auto"/>
          <w:sz w:val="24"/>
          <w:szCs w:val="24"/>
          <w:highlight w:val="none"/>
          <w:lang w:val="en-US"/>
        </w:rPr>
      </w:pPr>
      <w:r>
        <w:rPr>
          <w:rFonts w:hint="eastAsia" w:ascii="仿宋" w:hAnsi="仿宋" w:eastAsia="仿宋"/>
          <w:color w:val="auto"/>
          <w:sz w:val="24"/>
          <w:highlight w:val="none"/>
        </w:rPr>
        <w:t>（二）</w:t>
      </w:r>
      <w:r>
        <w:rPr>
          <w:rFonts w:hint="eastAsia" w:ascii="仿宋" w:hAnsi="仿宋" w:eastAsia="仿宋"/>
          <w:color w:val="auto"/>
          <w:sz w:val="24"/>
          <w:szCs w:val="24"/>
          <w:highlight w:val="none"/>
          <w:lang w:val="en-US"/>
        </w:rPr>
        <w:t>乙方需能提供7*24的电话在线服务支持；</w:t>
      </w:r>
    </w:p>
    <w:p w14:paraId="451F71DC">
      <w:pPr>
        <w:pStyle w:val="11"/>
        <w:ind w:firstLine="480"/>
        <w:rPr>
          <w:rFonts w:ascii="仿宋" w:hAnsi="仿宋" w:eastAsia="仿宋"/>
          <w:color w:val="auto"/>
          <w:sz w:val="24"/>
          <w:szCs w:val="24"/>
          <w:highlight w:val="none"/>
          <w:lang w:val="en-US"/>
        </w:rPr>
      </w:pPr>
      <w:r>
        <w:rPr>
          <w:rFonts w:hint="eastAsia" w:ascii="仿宋" w:hAnsi="仿宋" w:eastAsia="仿宋"/>
          <w:color w:val="auto"/>
          <w:sz w:val="24"/>
          <w:highlight w:val="none"/>
        </w:rPr>
        <w:t>（三）</w:t>
      </w:r>
      <w:r>
        <w:rPr>
          <w:rFonts w:hint="eastAsia" w:ascii="仿宋" w:hAnsi="仿宋" w:eastAsia="仿宋"/>
          <w:color w:val="auto"/>
          <w:sz w:val="24"/>
          <w:szCs w:val="24"/>
          <w:highlight w:val="none"/>
          <w:lang w:val="en-US"/>
        </w:rPr>
        <w:t>乙方承诺</w:t>
      </w:r>
      <w:r>
        <w:rPr>
          <w:rFonts w:hint="eastAsia" w:ascii="仿宋" w:hAnsi="仿宋" w:eastAsia="仿宋"/>
          <w:color w:val="auto"/>
          <w:sz w:val="24"/>
          <w:szCs w:val="24"/>
          <w:highlight w:val="none"/>
          <w:lang w:val="en-US" w:eastAsia="zh-CN"/>
        </w:rPr>
        <w:t>实施及运维</w:t>
      </w:r>
      <w:r>
        <w:rPr>
          <w:rFonts w:hint="eastAsia" w:ascii="仿宋" w:hAnsi="仿宋" w:eastAsia="仿宋"/>
          <w:color w:val="auto"/>
          <w:sz w:val="24"/>
          <w:szCs w:val="24"/>
          <w:highlight w:val="none"/>
          <w:lang w:val="en-US"/>
        </w:rPr>
        <w:t>工程师是在乙方服务多年的具有丰富经验的系统应用和网络工程师，精通目前主流的系统应用及网络技术，熟悉各种系统及装置的使用和调试。设置技术支持专人，电话全天24小时为用户开通，以应付出现各种突发事件的技术支持需求。</w:t>
      </w:r>
    </w:p>
    <w:p w14:paraId="39E0DC6F">
      <w:pPr>
        <w:pStyle w:val="11"/>
        <w:ind w:firstLine="480"/>
        <w:rPr>
          <w:rFonts w:ascii="仿宋" w:hAnsi="仿宋" w:eastAsia="仿宋"/>
          <w:color w:val="auto"/>
          <w:sz w:val="24"/>
          <w:szCs w:val="24"/>
          <w:highlight w:val="none"/>
          <w:lang w:val="en-US"/>
        </w:rPr>
      </w:pPr>
      <w:r>
        <w:rPr>
          <w:rFonts w:hint="eastAsia" w:ascii="仿宋" w:hAnsi="仿宋" w:eastAsia="仿宋"/>
          <w:color w:val="auto"/>
          <w:sz w:val="24"/>
          <w:highlight w:val="none"/>
        </w:rPr>
        <w:t>（</w:t>
      </w:r>
      <w:r>
        <w:rPr>
          <w:rFonts w:hint="eastAsia" w:ascii="仿宋" w:hAnsi="仿宋" w:eastAsia="仿宋"/>
          <w:color w:val="auto"/>
          <w:sz w:val="24"/>
          <w:highlight w:val="none"/>
          <w:lang w:val="en-US" w:eastAsia="zh-CN"/>
        </w:rPr>
        <w:t>四</w:t>
      </w:r>
      <w:r>
        <w:rPr>
          <w:rFonts w:hint="eastAsia" w:ascii="仿宋" w:hAnsi="仿宋" w:eastAsia="仿宋"/>
          <w:color w:val="auto"/>
          <w:sz w:val="24"/>
          <w:highlight w:val="none"/>
        </w:rPr>
        <w:t>）</w:t>
      </w:r>
      <w:r>
        <w:rPr>
          <w:rFonts w:hint="eastAsia" w:ascii="仿宋" w:hAnsi="仿宋" w:eastAsia="仿宋"/>
          <w:color w:val="auto"/>
          <w:sz w:val="24"/>
          <w:szCs w:val="24"/>
          <w:highlight w:val="none"/>
          <w:lang w:val="en-US"/>
        </w:rPr>
        <w:t>项目组织机构完整，实施计划完整可行。项目配置、安装调试、检测、启动运行方面措施得力，并有专业队伍和技术人员支持。</w:t>
      </w:r>
    </w:p>
    <w:p w14:paraId="05B16D91">
      <w:pPr>
        <w:pStyle w:val="11"/>
        <w:ind w:firstLine="602" w:firstLineChars="250"/>
        <w:rPr>
          <w:rFonts w:ascii="仿宋" w:hAnsi="仿宋" w:eastAsia="仿宋"/>
          <w:b/>
          <w:color w:val="auto"/>
          <w:sz w:val="24"/>
          <w:szCs w:val="24"/>
          <w:highlight w:val="none"/>
          <w:lang w:val="en-US"/>
        </w:rPr>
      </w:pPr>
      <w:r>
        <w:rPr>
          <w:rFonts w:hint="eastAsia" w:ascii="仿宋" w:hAnsi="仿宋" w:eastAsia="仿宋"/>
          <w:b/>
          <w:color w:val="auto"/>
          <w:sz w:val="24"/>
          <w:szCs w:val="24"/>
          <w:highlight w:val="none"/>
          <w:lang w:val="en-US"/>
        </w:rPr>
        <w:t>九.人员要求</w:t>
      </w:r>
    </w:p>
    <w:p w14:paraId="0727C160">
      <w:pPr>
        <w:pStyle w:val="11"/>
        <w:ind w:firstLine="480"/>
        <w:rPr>
          <w:rFonts w:hint="eastAsia" w:ascii="仿宋" w:hAnsi="仿宋" w:eastAsia="仿宋"/>
          <w:color w:val="auto"/>
          <w:sz w:val="24"/>
          <w:szCs w:val="24"/>
          <w:highlight w:val="none"/>
          <w:lang w:val="en-US"/>
        </w:rPr>
      </w:pPr>
      <w:r>
        <w:rPr>
          <w:rFonts w:hint="eastAsia" w:ascii="仿宋" w:hAnsi="仿宋" w:eastAsia="仿宋"/>
          <w:color w:val="auto"/>
          <w:sz w:val="24"/>
          <w:szCs w:val="24"/>
          <w:highlight w:val="none"/>
          <w:lang w:val="en-US"/>
        </w:rPr>
        <w:t>（一）乙方需在西安市具备本地化服务机构及本地的工程师团队，并提供办公地址以及联系电话；</w:t>
      </w:r>
    </w:p>
    <w:p w14:paraId="10554834">
      <w:pPr>
        <w:pStyle w:val="11"/>
        <w:ind w:firstLine="480"/>
        <w:rPr>
          <w:rFonts w:hint="eastAsia" w:ascii="仿宋" w:hAnsi="仿宋" w:eastAsia="仿宋"/>
          <w:color w:val="auto"/>
          <w:sz w:val="24"/>
          <w:szCs w:val="24"/>
          <w:highlight w:val="none"/>
          <w:lang w:val="en-US"/>
        </w:rPr>
      </w:pPr>
      <w:r>
        <w:rPr>
          <w:rFonts w:hint="eastAsia" w:ascii="仿宋" w:hAnsi="仿宋" w:eastAsia="仿宋"/>
          <w:color w:val="auto"/>
          <w:sz w:val="24"/>
          <w:szCs w:val="24"/>
          <w:highlight w:val="none"/>
          <w:lang w:val="en-US"/>
        </w:rPr>
        <w:t>（二）乙方在项目实施时至少安排</w:t>
      </w:r>
      <w:r>
        <w:rPr>
          <w:rFonts w:hint="eastAsia" w:ascii="仿宋" w:hAnsi="仿宋" w:eastAsia="仿宋"/>
          <w:color w:val="auto"/>
          <w:sz w:val="24"/>
          <w:szCs w:val="24"/>
          <w:highlight w:val="none"/>
          <w:u w:val="single"/>
          <w:lang w:val="en-US" w:eastAsia="zh-CN"/>
        </w:rPr>
        <w:t xml:space="preserve"> 1 </w:t>
      </w:r>
      <w:r>
        <w:rPr>
          <w:rFonts w:hint="eastAsia" w:ascii="仿宋" w:hAnsi="仿宋" w:eastAsia="仿宋"/>
          <w:color w:val="auto"/>
          <w:sz w:val="24"/>
          <w:szCs w:val="24"/>
          <w:highlight w:val="none"/>
          <w:lang w:val="en-US"/>
        </w:rPr>
        <w:t>名项目经理、</w:t>
      </w:r>
      <w:r>
        <w:rPr>
          <w:rFonts w:hint="eastAsia" w:ascii="仿宋" w:hAnsi="仿宋" w:eastAsia="仿宋"/>
          <w:color w:val="auto"/>
          <w:sz w:val="24"/>
          <w:szCs w:val="24"/>
          <w:highlight w:val="none"/>
          <w:u w:val="single"/>
          <w:lang w:val="en-US" w:eastAsia="zh-CN"/>
        </w:rPr>
        <w:t xml:space="preserve"> 2 </w:t>
      </w:r>
      <w:r>
        <w:rPr>
          <w:rFonts w:hint="eastAsia" w:ascii="仿宋" w:hAnsi="仿宋" w:eastAsia="仿宋"/>
          <w:color w:val="auto"/>
          <w:sz w:val="24"/>
          <w:szCs w:val="24"/>
          <w:highlight w:val="none"/>
          <w:lang w:val="en-US"/>
        </w:rPr>
        <w:t>名实施工程师，共</w:t>
      </w:r>
      <w:r>
        <w:rPr>
          <w:rFonts w:hint="eastAsia" w:ascii="仿宋" w:hAnsi="仿宋" w:eastAsia="仿宋"/>
          <w:color w:val="auto"/>
          <w:sz w:val="24"/>
          <w:szCs w:val="24"/>
          <w:highlight w:val="none"/>
          <w:u w:val="single"/>
          <w:lang w:val="en-US" w:eastAsia="zh-CN"/>
        </w:rPr>
        <w:t xml:space="preserve"> 3 </w:t>
      </w:r>
      <w:r>
        <w:rPr>
          <w:rFonts w:hint="eastAsia" w:ascii="仿宋" w:hAnsi="仿宋" w:eastAsia="仿宋"/>
          <w:color w:val="auto"/>
          <w:sz w:val="24"/>
          <w:szCs w:val="24"/>
          <w:highlight w:val="none"/>
          <w:lang w:val="en-US"/>
        </w:rPr>
        <w:t>人驻场进行项目管理、安装、调试、测试、培训、上线，并随时响应甲方的技术需求；</w:t>
      </w:r>
    </w:p>
    <w:p w14:paraId="1B78287C">
      <w:pPr>
        <w:pStyle w:val="11"/>
        <w:ind w:firstLine="480"/>
        <w:rPr>
          <w:rFonts w:hint="eastAsia" w:ascii="仿宋" w:hAnsi="仿宋" w:eastAsia="仿宋"/>
          <w:color w:val="auto"/>
          <w:sz w:val="24"/>
          <w:szCs w:val="24"/>
          <w:highlight w:val="none"/>
          <w:lang w:val="en-US"/>
        </w:rPr>
      </w:pPr>
      <w:r>
        <w:rPr>
          <w:rFonts w:hint="eastAsia" w:ascii="仿宋" w:hAnsi="仿宋" w:eastAsia="仿宋"/>
          <w:color w:val="auto"/>
          <w:sz w:val="24"/>
          <w:szCs w:val="24"/>
          <w:highlight w:val="none"/>
          <w:lang w:val="en-US"/>
        </w:rPr>
        <w:t>（三）乙方项目实施工程师需具备现场代码开发能力，客户需求可以现场直接沟通进行修改；</w:t>
      </w:r>
    </w:p>
    <w:p w14:paraId="6CF31517">
      <w:pPr>
        <w:pStyle w:val="11"/>
        <w:ind w:firstLine="480"/>
        <w:rPr>
          <w:rFonts w:ascii="仿宋" w:hAnsi="仿宋" w:eastAsia="仿宋"/>
          <w:color w:val="auto"/>
          <w:sz w:val="24"/>
          <w:szCs w:val="24"/>
          <w:highlight w:val="none"/>
          <w:lang w:val="en-US"/>
        </w:rPr>
      </w:pPr>
      <w:r>
        <w:rPr>
          <w:rFonts w:hint="eastAsia" w:ascii="仿宋" w:hAnsi="仿宋" w:eastAsia="仿宋"/>
          <w:color w:val="auto"/>
          <w:sz w:val="24"/>
          <w:szCs w:val="24"/>
          <w:highlight w:val="none"/>
          <w:lang w:val="en-US"/>
        </w:rPr>
        <w:t>（四）甲方有权根据实施情况要求更换项目经理和其他实施人员。</w:t>
      </w:r>
    </w:p>
    <w:p w14:paraId="5099D98C">
      <w:pPr>
        <w:pStyle w:val="11"/>
        <w:ind w:firstLine="482"/>
        <w:rPr>
          <w:rFonts w:ascii="仿宋" w:hAnsi="仿宋" w:eastAsia="仿宋"/>
          <w:b/>
          <w:color w:val="auto"/>
          <w:sz w:val="24"/>
          <w:szCs w:val="24"/>
          <w:highlight w:val="none"/>
          <w:lang w:val="en-US"/>
        </w:rPr>
      </w:pPr>
      <w:r>
        <w:rPr>
          <w:rFonts w:hint="eastAsia" w:ascii="仿宋" w:hAnsi="仿宋" w:eastAsia="仿宋"/>
          <w:b/>
          <w:color w:val="auto"/>
          <w:sz w:val="24"/>
          <w:szCs w:val="24"/>
          <w:highlight w:val="none"/>
          <w:lang w:val="en-US"/>
        </w:rPr>
        <w:t>十.培训要求</w:t>
      </w:r>
    </w:p>
    <w:p w14:paraId="737CE570">
      <w:pPr>
        <w:pStyle w:val="11"/>
        <w:ind w:firstLine="480"/>
        <w:rPr>
          <w:rFonts w:ascii="仿宋" w:hAnsi="仿宋" w:eastAsia="仿宋"/>
          <w:color w:val="auto"/>
          <w:sz w:val="24"/>
          <w:szCs w:val="24"/>
          <w:highlight w:val="none"/>
          <w:lang w:val="en-US"/>
        </w:rPr>
      </w:pPr>
      <w:r>
        <w:rPr>
          <w:rFonts w:hint="eastAsia" w:ascii="仿宋" w:hAnsi="仿宋" w:eastAsia="仿宋"/>
          <w:color w:val="auto"/>
          <w:sz w:val="24"/>
          <w:szCs w:val="24"/>
          <w:highlight w:val="none"/>
          <w:lang w:val="en-US"/>
        </w:rPr>
        <w:t>提供完善的免费系统使用培训服务，直至甲方熟练掌握该系统为止。培训材料应采用中文撰写，提供纸质及电子文档，培训的人数、时间、地点应根据甲方的实际情况确定。培训课程的设置及讲授由乙方负责安排，培训内容按理论结合实际的原则进行。</w:t>
      </w:r>
    </w:p>
    <w:p w14:paraId="020E5BA5">
      <w:pPr>
        <w:tabs>
          <w:tab w:val="left" w:pos="480"/>
        </w:tabs>
        <w:spacing w:line="360" w:lineRule="auto"/>
        <w:ind w:firstLine="482" w:firstLineChars="200"/>
        <w:rPr>
          <w:rFonts w:hint="eastAsia" w:ascii="仿宋" w:hAnsi="仿宋" w:eastAsia="仿宋"/>
          <w:b/>
          <w:color w:val="auto"/>
          <w:sz w:val="24"/>
          <w:highlight w:val="none"/>
          <w:lang w:eastAsia="zh-CN"/>
        </w:rPr>
      </w:pPr>
      <w:r>
        <w:rPr>
          <w:rFonts w:hint="eastAsia" w:ascii="仿宋" w:hAnsi="仿宋" w:eastAsia="仿宋"/>
          <w:b/>
          <w:color w:val="auto"/>
          <w:sz w:val="24"/>
          <w:highlight w:val="none"/>
        </w:rPr>
        <w:t>十一、技术与服务</w:t>
      </w:r>
      <w:r>
        <w:rPr>
          <w:rFonts w:hint="eastAsia" w:ascii="仿宋" w:hAnsi="仿宋" w:eastAsia="仿宋"/>
          <w:b/>
          <w:color w:val="auto"/>
          <w:sz w:val="24"/>
          <w:highlight w:val="none"/>
          <w:lang w:eastAsia="zh-CN"/>
        </w:rPr>
        <w:tab/>
      </w:r>
    </w:p>
    <w:p w14:paraId="2E0F0B0E">
      <w:pPr>
        <w:tabs>
          <w:tab w:val="left" w:pos="480"/>
        </w:tabs>
        <w:spacing w:line="360" w:lineRule="auto"/>
        <w:ind w:firstLine="480" w:firstLineChars="200"/>
        <w:rPr>
          <w:rFonts w:ascii="仿宋" w:hAnsi="仿宋" w:eastAsia="仿宋"/>
          <w:color w:val="auto"/>
          <w:sz w:val="24"/>
          <w:highlight w:val="none"/>
        </w:rPr>
      </w:pPr>
      <w:r>
        <w:rPr>
          <w:rFonts w:hint="eastAsia" w:ascii="仿宋" w:hAnsi="仿宋" w:eastAsia="仿宋"/>
          <w:color w:val="auto"/>
          <w:sz w:val="24"/>
          <w:highlight w:val="none"/>
        </w:rPr>
        <w:t>（一）技术资料：</w:t>
      </w:r>
    </w:p>
    <w:p w14:paraId="0D02B4D5">
      <w:pPr>
        <w:tabs>
          <w:tab w:val="left" w:pos="480"/>
        </w:tabs>
        <w:spacing w:line="360" w:lineRule="auto"/>
        <w:ind w:firstLine="480" w:firstLineChars="200"/>
        <w:rPr>
          <w:rFonts w:ascii="仿宋" w:hAnsi="仿宋" w:eastAsia="仿宋"/>
          <w:color w:val="auto"/>
          <w:sz w:val="24"/>
          <w:highlight w:val="none"/>
        </w:rPr>
      </w:pPr>
      <w:r>
        <w:rPr>
          <w:rFonts w:hint="eastAsia" w:ascii="仿宋" w:hAnsi="仿宋" w:eastAsia="仿宋"/>
          <w:color w:val="auto"/>
          <w:sz w:val="24"/>
          <w:highlight w:val="none"/>
        </w:rPr>
        <w:t>1、货物合格证；</w:t>
      </w:r>
    </w:p>
    <w:p w14:paraId="783943DD">
      <w:pPr>
        <w:tabs>
          <w:tab w:val="left" w:pos="480"/>
        </w:tabs>
        <w:spacing w:line="360" w:lineRule="auto"/>
        <w:ind w:firstLine="480" w:firstLineChars="200"/>
        <w:rPr>
          <w:rFonts w:ascii="仿宋" w:hAnsi="仿宋" w:eastAsia="仿宋"/>
          <w:color w:val="auto"/>
          <w:sz w:val="24"/>
          <w:highlight w:val="none"/>
        </w:rPr>
      </w:pPr>
      <w:r>
        <w:rPr>
          <w:rFonts w:hint="eastAsia" w:ascii="仿宋" w:hAnsi="仿宋" w:eastAsia="仿宋"/>
          <w:color w:val="auto"/>
          <w:sz w:val="24"/>
          <w:highlight w:val="none"/>
        </w:rPr>
        <w:t>2、货物使用说明书（中文）；</w:t>
      </w:r>
    </w:p>
    <w:p w14:paraId="41C40610">
      <w:pPr>
        <w:tabs>
          <w:tab w:val="left" w:pos="480"/>
        </w:tabs>
        <w:spacing w:line="360" w:lineRule="auto"/>
        <w:ind w:firstLine="480" w:firstLineChars="200"/>
        <w:rPr>
          <w:rFonts w:ascii="仿宋" w:hAnsi="仿宋" w:eastAsia="仿宋"/>
          <w:color w:val="auto"/>
          <w:sz w:val="24"/>
          <w:highlight w:val="none"/>
        </w:rPr>
      </w:pPr>
      <w:r>
        <w:rPr>
          <w:rFonts w:hint="eastAsia" w:ascii="仿宋" w:hAnsi="仿宋" w:eastAsia="仿宋"/>
          <w:color w:val="auto"/>
          <w:sz w:val="24"/>
          <w:highlight w:val="none"/>
        </w:rPr>
        <w:t>3、货物商检证明；</w:t>
      </w:r>
    </w:p>
    <w:p w14:paraId="56F65312">
      <w:pPr>
        <w:tabs>
          <w:tab w:val="left" w:pos="480"/>
        </w:tabs>
        <w:spacing w:line="360" w:lineRule="auto"/>
        <w:ind w:firstLine="480" w:firstLineChars="200"/>
        <w:rPr>
          <w:rFonts w:ascii="仿宋" w:hAnsi="仿宋" w:eastAsia="仿宋"/>
          <w:color w:val="auto"/>
          <w:sz w:val="24"/>
          <w:highlight w:val="none"/>
        </w:rPr>
      </w:pPr>
      <w:r>
        <w:rPr>
          <w:rFonts w:hint="eastAsia" w:ascii="仿宋" w:hAnsi="仿宋" w:eastAsia="仿宋"/>
          <w:color w:val="auto"/>
          <w:sz w:val="24"/>
          <w:highlight w:val="none"/>
        </w:rPr>
        <w:t>4、项目竣工资料、检验测试报告；</w:t>
      </w:r>
    </w:p>
    <w:p w14:paraId="06A7D44D">
      <w:pPr>
        <w:tabs>
          <w:tab w:val="left" w:pos="480"/>
        </w:tabs>
        <w:spacing w:line="360" w:lineRule="auto"/>
        <w:ind w:firstLine="480" w:firstLineChars="200"/>
        <w:rPr>
          <w:rFonts w:ascii="仿宋" w:hAnsi="仿宋" w:eastAsia="仿宋"/>
          <w:color w:val="auto"/>
          <w:sz w:val="24"/>
          <w:highlight w:val="none"/>
        </w:rPr>
      </w:pPr>
      <w:r>
        <w:rPr>
          <w:rFonts w:hint="eastAsia" w:ascii="仿宋" w:hAnsi="仿宋" w:eastAsia="仿宋"/>
          <w:color w:val="auto"/>
          <w:sz w:val="24"/>
          <w:highlight w:val="none"/>
        </w:rPr>
        <w:t>5、其它资料。</w:t>
      </w:r>
    </w:p>
    <w:p w14:paraId="036D755E">
      <w:pPr>
        <w:tabs>
          <w:tab w:val="left" w:pos="480"/>
        </w:tabs>
        <w:spacing w:line="360" w:lineRule="auto"/>
        <w:ind w:firstLine="480" w:firstLineChars="200"/>
        <w:rPr>
          <w:rFonts w:ascii="仿宋" w:hAnsi="仿宋" w:eastAsia="仿宋"/>
          <w:color w:val="auto"/>
          <w:sz w:val="24"/>
          <w:highlight w:val="none"/>
        </w:rPr>
      </w:pPr>
      <w:r>
        <w:rPr>
          <w:rFonts w:hint="eastAsia" w:ascii="仿宋" w:hAnsi="仿宋" w:eastAsia="仿宋"/>
          <w:color w:val="auto"/>
          <w:sz w:val="24"/>
          <w:highlight w:val="none"/>
        </w:rPr>
        <w:t>（二）服务承诺：以磋商响应文件、澄清表（函）、合同和随货物的相关文件为准。</w:t>
      </w:r>
    </w:p>
    <w:p w14:paraId="449322BC">
      <w:pPr>
        <w:pStyle w:val="11"/>
        <w:ind w:firstLine="480"/>
        <w:rPr>
          <w:rFonts w:ascii="仿宋" w:hAnsi="仿宋" w:eastAsia="仿宋"/>
          <w:color w:val="auto"/>
          <w:sz w:val="24"/>
          <w:szCs w:val="24"/>
          <w:highlight w:val="none"/>
          <w:lang w:val="en-US"/>
        </w:rPr>
      </w:pPr>
      <w:r>
        <w:rPr>
          <w:rFonts w:hint="eastAsia" w:ascii="仿宋" w:hAnsi="仿宋" w:eastAsia="仿宋"/>
          <w:color w:val="auto"/>
          <w:sz w:val="24"/>
          <w:szCs w:val="24"/>
          <w:highlight w:val="none"/>
          <w:lang w:val="en-US"/>
        </w:rPr>
        <w:t>（三）技术服务要求：</w:t>
      </w:r>
    </w:p>
    <w:p w14:paraId="16A9BB4C">
      <w:pPr>
        <w:pStyle w:val="11"/>
        <w:ind w:firstLine="417" w:firstLineChars="174"/>
        <w:rPr>
          <w:rFonts w:ascii="仿宋" w:hAnsi="仿宋" w:eastAsia="仿宋" w:cs="宋体"/>
          <w:color w:val="auto"/>
          <w:kern w:val="0"/>
          <w:sz w:val="24"/>
          <w:szCs w:val="24"/>
          <w:highlight w:val="none"/>
          <w:lang w:val="en-US"/>
        </w:rPr>
      </w:pPr>
      <w:r>
        <w:rPr>
          <w:rFonts w:hint="eastAsia" w:ascii="仿宋" w:hAnsi="仿宋" w:eastAsia="仿宋" w:cs="宋体"/>
          <w:color w:val="auto"/>
          <w:kern w:val="0"/>
          <w:sz w:val="24"/>
          <w:szCs w:val="24"/>
          <w:highlight w:val="none"/>
          <w:lang w:val="en-US"/>
        </w:rPr>
        <w:t>1、乙方承诺在售后服务期内</w:t>
      </w:r>
      <w:r>
        <w:rPr>
          <w:rFonts w:hint="eastAsia" w:ascii="仿宋" w:hAnsi="仿宋" w:eastAsia="仿宋" w:cs="宋体"/>
          <w:color w:val="auto"/>
          <w:kern w:val="0"/>
          <w:sz w:val="24"/>
          <w:szCs w:val="24"/>
          <w:highlight w:val="none"/>
          <w:lang w:val="en-US" w:eastAsia="zh-CN"/>
        </w:rPr>
        <w:t>免费</w:t>
      </w:r>
      <w:r>
        <w:rPr>
          <w:rFonts w:hint="eastAsia" w:ascii="仿宋" w:hAnsi="仿宋" w:eastAsia="仿宋" w:cs="宋体"/>
          <w:color w:val="auto"/>
          <w:kern w:val="0"/>
          <w:sz w:val="24"/>
          <w:szCs w:val="24"/>
          <w:highlight w:val="none"/>
          <w:lang w:val="en-US"/>
        </w:rPr>
        <w:t>提供以下技术支持服务：</w:t>
      </w:r>
    </w:p>
    <w:p w14:paraId="0138905E">
      <w:pPr>
        <w:pStyle w:val="11"/>
        <w:ind w:firstLine="480"/>
        <w:rPr>
          <w:rFonts w:ascii="仿宋" w:hAnsi="仿宋" w:eastAsia="仿宋" w:cs="宋体"/>
          <w:color w:val="auto"/>
          <w:kern w:val="0"/>
          <w:sz w:val="24"/>
          <w:szCs w:val="24"/>
          <w:highlight w:val="none"/>
          <w:lang w:val="en-US"/>
        </w:rPr>
      </w:pPr>
      <w:r>
        <w:rPr>
          <w:rFonts w:hint="eastAsia" w:ascii="仿宋" w:hAnsi="仿宋" w:eastAsia="仿宋" w:cs="宋体"/>
          <w:color w:val="auto"/>
          <w:kern w:val="0"/>
          <w:sz w:val="24"/>
          <w:szCs w:val="24"/>
          <w:highlight w:val="none"/>
          <w:lang w:val="en-US"/>
        </w:rPr>
        <w:t>（1）软件的开发改正性维护服务：主要指针对软件运行过程发现的潜在质量问题（如BUG、程序缺陷）而进行的程序修改。</w:t>
      </w:r>
    </w:p>
    <w:p w14:paraId="4E6C35EC">
      <w:pPr>
        <w:pStyle w:val="11"/>
        <w:ind w:firstLine="480"/>
        <w:rPr>
          <w:rFonts w:ascii="仿宋" w:hAnsi="仿宋" w:eastAsia="仿宋" w:cs="宋体"/>
          <w:color w:val="auto"/>
          <w:kern w:val="0"/>
          <w:sz w:val="24"/>
          <w:szCs w:val="24"/>
          <w:highlight w:val="none"/>
          <w:lang w:val="en-US"/>
        </w:rPr>
      </w:pPr>
      <w:r>
        <w:rPr>
          <w:rFonts w:hint="eastAsia" w:ascii="仿宋" w:hAnsi="仿宋" w:eastAsia="仿宋" w:cs="宋体"/>
          <w:color w:val="auto"/>
          <w:kern w:val="0"/>
          <w:sz w:val="24"/>
          <w:szCs w:val="24"/>
          <w:highlight w:val="none"/>
          <w:lang w:val="en-US"/>
        </w:rPr>
        <w:t>（2）软件的完善性维护服务：主要指针对软件已有功能的完善性修改等服务；以及针对系统设计上的缺陷而进行的程序调整。</w:t>
      </w:r>
    </w:p>
    <w:p w14:paraId="4C5AEA07">
      <w:pPr>
        <w:pStyle w:val="11"/>
        <w:ind w:firstLine="480"/>
        <w:rPr>
          <w:rFonts w:ascii="仿宋" w:hAnsi="仿宋" w:eastAsia="仿宋" w:cs="宋体"/>
          <w:color w:val="auto"/>
          <w:kern w:val="0"/>
          <w:sz w:val="24"/>
          <w:szCs w:val="24"/>
          <w:highlight w:val="none"/>
          <w:lang w:val="en-US"/>
        </w:rPr>
      </w:pPr>
      <w:r>
        <w:rPr>
          <w:rFonts w:hint="eastAsia" w:ascii="仿宋" w:hAnsi="仿宋" w:eastAsia="仿宋" w:cs="宋体"/>
          <w:color w:val="auto"/>
          <w:kern w:val="0"/>
          <w:sz w:val="24"/>
          <w:szCs w:val="24"/>
          <w:highlight w:val="none"/>
          <w:lang w:val="en-US"/>
        </w:rPr>
        <w:t>（3）本地化需求和政策性需求</w:t>
      </w:r>
      <w:r>
        <w:rPr>
          <w:rFonts w:hint="eastAsia" w:ascii="仿宋" w:hAnsi="仿宋" w:eastAsia="仿宋" w:cs="宋体"/>
          <w:color w:val="auto"/>
          <w:kern w:val="0"/>
          <w:sz w:val="24"/>
          <w:szCs w:val="24"/>
          <w:highlight w:val="none"/>
          <w:lang w:val="en-US" w:eastAsia="zh-CN"/>
        </w:rPr>
        <w:t>且总工作量不超过20个工作日</w:t>
      </w:r>
      <w:r>
        <w:rPr>
          <w:rFonts w:hint="eastAsia" w:ascii="仿宋" w:hAnsi="仿宋" w:eastAsia="仿宋" w:cs="宋体"/>
          <w:color w:val="auto"/>
          <w:kern w:val="0"/>
          <w:sz w:val="24"/>
          <w:szCs w:val="24"/>
          <w:highlight w:val="none"/>
          <w:lang w:val="en-US"/>
        </w:rPr>
        <w:t>：</w:t>
      </w:r>
    </w:p>
    <w:p w14:paraId="0791D9E0">
      <w:pPr>
        <w:pStyle w:val="11"/>
        <w:ind w:firstLine="480"/>
        <w:rPr>
          <w:rFonts w:ascii="仿宋" w:hAnsi="仿宋" w:eastAsia="仿宋" w:cs="宋体"/>
          <w:color w:val="auto"/>
          <w:kern w:val="0"/>
          <w:sz w:val="24"/>
          <w:szCs w:val="24"/>
          <w:highlight w:val="none"/>
          <w:lang w:val="en-US"/>
        </w:rPr>
      </w:pPr>
      <w:r>
        <w:rPr>
          <w:rFonts w:hint="eastAsia" w:ascii="仿宋" w:hAnsi="仿宋" w:eastAsia="仿宋" w:cs="宋体"/>
          <w:color w:val="auto"/>
          <w:kern w:val="0"/>
          <w:sz w:val="24"/>
          <w:szCs w:val="24"/>
          <w:highlight w:val="none"/>
          <w:lang w:val="en-US"/>
        </w:rPr>
        <w:t>本地化需求：用户逻辑优化、交互升级及适量合理的本地化需求修改。</w:t>
      </w:r>
    </w:p>
    <w:p w14:paraId="7AD3211E">
      <w:pPr>
        <w:pStyle w:val="11"/>
        <w:ind w:firstLine="480"/>
        <w:rPr>
          <w:rFonts w:ascii="仿宋" w:hAnsi="仿宋" w:eastAsia="仿宋" w:cs="宋体"/>
          <w:color w:val="auto"/>
          <w:kern w:val="0"/>
          <w:sz w:val="24"/>
          <w:szCs w:val="24"/>
          <w:highlight w:val="none"/>
          <w:lang w:val="en-US"/>
        </w:rPr>
      </w:pPr>
      <w:r>
        <w:rPr>
          <w:rFonts w:hint="eastAsia" w:ascii="仿宋" w:hAnsi="仿宋" w:eastAsia="仿宋" w:cs="宋体"/>
          <w:color w:val="auto"/>
          <w:kern w:val="0"/>
          <w:sz w:val="24"/>
          <w:szCs w:val="24"/>
          <w:highlight w:val="none"/>
          <w:lang w:val="en-US"/>
        </w:rPr>
        <w:t>政策性需求：针对医院和部门的众多政策、标准或发展方向进行适量合理的业务系统维护开发。</w:t>
      </w:r>
    </w:p>
    <w:p w14:paraId="44945CE8">
      <w:pPr>
        <w:pStyle w:val="11"/>
        <w:ind w:firstLine="420" w:firstLineChars="0"/>
        <w:rPr>
          <w:rFonts w:ascii="仿宋" w:hAnsi="仿宋" w:eastAsia="仿宋" w:cs="宋体"/>
          <w:color w:val="auto"/>
          <w:kern w:val="0"/>
          <w:sz w:val="24"/>
          <w:szCs w:val="24"/>
          <w:highlight w:val="none"/>
          <w:lang w:val="en-US"/>
        </w:rPr>
      </w:pPr>
      <w:r>
        <w:rPr>
          <w:rFonts w:hint="eastAsia" w:ascii="仿宋" w:hAnsi="仿宋" w:eastAsia="仿宋" w:cs="宋体"/>
          <w:color w:val="auto"/>
          <w:kern w:val="0"/>
          <w:sz w:val="24"/>
          <w:szCs w:val="24"/>
          <w:highlight w:val="none"/>
          <w:lang w:val="en-US"/>
        </w:rPr>
        <w:t>2、验收要求</w:t>
      </w:r>
    </w:p>
    <w:p w14:paraId="61A30206">
      <w:pPr>
        <w:pStyle w:val="11"/>
        <w:ind w:firstLine="480"/>
        <w:rPr>
          <w:rFonts w:ascii="仿宋" w:hAnsi="仿宋" w:eastAsia="仿宋" w:cs="宋体"/>
          <w:color w:val="auto"/>
          <w:kern w:val="0"/>
          <w:sz w:val="24"/>
          <w:szCs w:val="24"/>
          <w:highlight w:val="none"/>
          <w:lang w:val="en-US"/>
        </w:rPr>
      </w:pPr>
      <w:r>
        <w:rPr>
          <w:rFonts w:hint="eastAsia" w:ascii="仿宋" w:hAnsi="仿宋" w:eastAsia="仿宋" w:cs="宋体"/>
          <w:color w:val="auto"/>
          <w:kern w:val="0"/>
          <w:sz w:val="24"/>
          <w:szCs w:val="24"/>
          <w:highlight w:val="none"/>
          <w:lang w:val="en-US"/>
        </w:rPr>
        <w:t>依</w:t>
      </w:r>
      <w:r>
        <w:rPr>
          <w:rFonts w:hint="eastAsia" w:ascii="仿宋" w:hAnsi="仿宋" w:eastAsia="仿宋" w:cs="宋体"/>
          <w:color w:val="auto"/>
          <w:kern w:val="0"/>
          <w:sz w:val="24"/>
          <w:szCs w:val="24"/>
          <w:highlight w:val="none"/>
          <w:lang w:val="en-US" w:eastAsia="zh-CN"/>
        </w:rPr>
        <w:t>磋商</w:t>
      </w:r>
      <w:r>
        <w:rPr>
          <w:rFonts w:hint="eastAsia" w:ascii="仿宋" w:hAnsi="仿宋" w:eastAsia="仿宋" w:cs="宋体"/>
          <w:color w:val="auto"/>
          <w:kern w:val="0"/>
          <w:sz w:val="24"/>
          <w:szCs w:val="24"/>
          <w:highlight w:val="none"/>
          <w:lang w:val="en-US"/>
        </w:rPr>
        <w:t>文件要求对软件的产品名称、版本、用户数、功能模块、标准遵从文件、用户手册等进行验收。验收依据：</w:t>
      </w:r>
    </w:p>
    <w:p w14:paraId="4D186EF9">
      <w:pPr>
        <w:pStyle w:val="11"/>
        <w:ind w:firstLine="420" w:firstLineChars="0"/>
        <w:rPr>
          <w:rFonts w:ascii="仿宋" w:hAnsi="仿宋" w:eastAsia="仿宋" w:cs="宋体"/>
          <w:color w:val="auto"/>
          <w:kern w:val="0"/>
          <w:sz w:val="24"/>
          <w:szCs w:val="24"/>
          <w:highlight w:val="none"/>
          <w:lang w:val="en-US"/>
        </w:rPr>
      </w:pPr>
      <w:r>
        <w:rPr>
          <w:rFonts w:hint="eastAsia" w:ascii="仿宋" w:hAnsi="仿宋" w:eastAsia="仿宋" w:cs="宋体"/>
          <w:color w:val="auto"/>
          <w:kern w:val="0"/>
          <w:sz w:val="24"/>
          <w:szCs w:val="24"/>
          <w:highlight w:val="none"/>
          <w:lang w:val="en-US"/>
        </w:rPr>
        <w:t>（1）</w:t>
      </w:r>
      <w:r>
        <w:rPr>
          <w:rFonts w:hint="eastAsia" w:ascii="仿宋" w:hAnsi="仿宋" w:eastAsia="仿宋" w:cs="宋体"/>
          <w:color w:val="auto"/>
          <w:kern w:val="0"/>
          <w:sz w:val="24"/>
          <w:szCs w:val="24"/>
          <w:highlight w:val="none"/>
          <w:lang w:val="en-US" w:eastAsia="zh-CN"/>
        </w:rPr>
        <w:t>磋商</w:t>
      </w:r>
      <w:r>
        <w:rPr>
          <w:rFonts w:hint="eastAsia" w:ascii="仿宋" w:hAnsi="仿宋" w:eastAsia="仿宋" w:cs="宋体"/>
          <w:color w:val="auto"/>
          <w:kern w:val="0"/>
          <w:sz w:val="24"/>
          <w:szCs w:val="24"/>
          <w:highlight w:val="none"/>
          <w:lang w:val="en-US"/>
        </w:rPr>
        <w:t>文件、</w:t>
      </w:r>
      <w:r>
        <w:rPr>
          <w:rFonts w:hint="eastAsia" w:ascii="仿宋" w:hAnsi="仿宋" w:eastAsia="仿宋" w:cs="宋体"/>
          <w:color w:val="auto"/>
          <w:kern w:val="0"/>
          <w:sz w:val="24"/>
          <w:szCs w:val="24"/>
          <w:highlight w:val="none"/>
          <w:lang w:val="en-US" w:eastAsia="zh-CN"/>
        </w:rPr>
        <w:t>磋商响应</w:t>
      </w:r>
      <w:r>
        <w:rPr>
          <w:rFonts w:hint="eastAsia" w:ascii="仿宋" w:hAnsi="仿宋" w:eastAsia="仿宋" w:cs="宋体"/>
          <w:color w:val="auto"/>
          <w:kern w:val="0"/>
          <w:sz w:val="24"/>
          <w:szCs w:val="24"/>
          <w:highlight w:val="none"/>
          <w:lang w:val="en-US"/>
        </w:rPr>
        <w:t>文件、澄清表（函）；</w:t>
      </w:r>
    </w:p>
    <w:p w14:paraId="4E6EA704">
      <w:pPr>
        <w:pStyle w:val="11"/>
        <w:ind w:firstLine="420" w:firstLineChars="0"/>
        <w:rPr>
          <w:rFonts w:ascii="仿宋" w:hAnsi="仿宋" w:eastAsia="仿宋" w:cs="宋体"/>
          <w:color w:val="auto"/>
          <w:kern w:val="0"/>
          <w:sz w:val="24"/>
          <w:szCs w:val="24"/>
          <w:highlight w:val="none"/>
          <w:lang w:val="en-US"/>
        </w:rPr>
      </w:pPr>
      <w:r>
        <w:rPr>
          <w:rFonts w:hint="eastAsia" w:ascii="仿宋" w:hAnsi="仿宋" w:eastAsia="仿宋" w:cs="宋体"/>
          <w:color w:val="auto"/>
          <w:kern w:val="0"/>
          <w:sz w:val="24"/>
          <w:szCs w:val="24"/>
          <w:highlight w:val="none"/>
          <w:lang w:val="en-US"/>
        </w:rPr>
        <w:t>（2）本合同及附件文本；</w:t>
      </w:r>
    </w:p>
    <w:p w14:paraId="6B726860">
      <w:pPr>
        <w:pStyle w:val="11"/>
        <w:ind w:firstLine="420" w:firstLineChars="0"/>
        <w:rPr>
          <w:rFonts w:ascii="仿宋" w:hAnsi="仿宋" w:eastAsia="仿宋" w:cs="宋体"/>
          <w:color w:val="auto"/>
          <w:kern w:val="0"/>
          <w:sz w:val="24"/>
          <w:szCs w:val="24"/>
          <w:highlight w:val="none"/>
          <w:lang w:val="en-US"/>
        </w:rPr>
      </w:pPr>
      <w:r>
        <w:rPr>
          <w:rFonts w:hint="eastAsia" w:ascii="仿宋" w:hAnsi="仿宋" w:eastAsia="仿宋" w:cs="宋体"/>
          <w:color w:val="auto"/>
          <w:kern w:val="0"/>
          <w:sz w:val="24"/>
          <w:szCs w:val="24"/>
          <w:highlight w:val="none"/>
          <w:lang w:val="en-US"/>
        </w:rPr>
        <w:t>（3）合同签订时国家及行业现行的标准和技术规范。</w:t>
      </w:r>
    </w:p>
    <w:p w14:paraId="3D5928CA">
      <w:pPr>
        <w:tabs>
          <w:tab w:val="left" w:pos="480"/>
        </w:tabs>
        <w:spacing w:line="360" w:lineRule="auto"/>
        <w:ind w:firstLine="482" w:firstLineChars="200"/>
        <w:rPr>
          <w:rFonts w:ascii="仿宋" w:hAnsi="仿宋" w:eastAsia="仿宋"/>
          <w:b/>
          <w:color w:val="auto"/>
          <w:sz w:val="24"/>
          <w:highlight w:val="none"/>
        </w:rPr>
      </w:pPr>
      <w:r>
        <w:rPr>
          <w:rFonts w:hint="eastAsia" w:ascii="仿宋" w:hAnsi="仿宋" w:eastAsia="仿宋"/>
          <w:b/>
          <w:color w:val="auto"/>
          <w:sz w:val="24"/>
          <w:highlight w:val="none"/>
        </w:rPr>
        <w:t>十二、验收</w:t>
      </w:r>
    </w:p>
    <w:p w14:paraId="69DF66E0">
      <w:pPr>
        <w:tabs>
          <w:tab w:val="left" w:pos="480"/>
        </w:tabs>
        <w:spacing w:line="360" w:lineRule="auto"/>
        <w:ind w:firstLine="480" w:firstLineChars="200"/>
        <w:rPr>
          <w:rFonts w:ascii="仿宋" w:hAnsi="仿宋" w:eastAsia="仿宋"/>
          <w:color w:val="auto"/>
          <w:sz w:val="24"/>
          <w:highlight w:val="none"/>
        </w:rPr>
      </w:pPr>
      <w:r>
        <w:rPr>
          <w:rFonts w:hint="eastAsia" w:ascii="仿宋" w:hAnsi="仿宋" w:eastAsia="仿宋"/>
          <w:color w:val="auto"/>
          <w:sz w:val="24"/>
          <w:highlight w:val="none"/>
        </w:rPr>
        <w:t>（一）货物到达甲方指定地点后，甲方根据合同要求，进行外观验收，确认产地、规格、型号和数量。</w:t>
      </w:r>
    </w:p>
    <w:p w14:paraId="0EBE887A">
      <w:pPr>
        <w:tabs>
          <w:tab w:val="left" w:pos="480"/>
        </w:tabs>
        <w:spacing w:line="360" w:lineRule="auto"/>
        <w:ind w:firstLine="480" w:firstLineChars="200"/>
        <w:rPr>
          <w:rFonts w:ascii="仿宋" w:hAnsi="仿宋" w:eastAsia="仿宋"/>
          <w:color w:val="auto"/>
          <w:sz w:val="24"/>
          <w:highlight w:val="none"/>
        </w:rPr>
      </w:pPr>
      <w:r>
        <w:rPr>
          <w:rFonts w:hint="eastAsia" w:ascii="仿宋" w:hAnsi="仿宋" w:eastAsia="仿宋"/>
          <w:color w:val="auto"/>
          <w:sz w:val="24"/>
          <w:highlight w:val="none"/>
        </w:rPr>
        <w:t>（二）货物安装、调试并正常运行后，由乙方进行自检，合格后，准备验收文件，并书面通知甲方。</w:t>
      </w:r>
    </w:p>
    <w:p w14:paraId="4225F543">
      <w:pPr>
        <w:tabs>
          <w:tab w:val="left" w:pos="480"/>
        </w:tabs>
        <w:spacing w:line="360" w:lineRule="auto"/>
        <w:ind w:firstLine="480" w:firstLineChars="200"/>
        <w:rPr>
          <w:rFonts w:ascii="仿宋" w:hAnsi="仿宋" w:eastAsia="仿宋"/>
          <w:color w:val="auto"/>
          <w:sz w:val="24"/>
          <w:highlight w:val="none"/>
        </w:rPr>
      </w:pPr>
      <w:r>
        <w:rPr>
          <w:rFonts w:hint="eastAsia" w:ascii="仿宋" w:hAnsi="仿宋" w:eastAsia="仿宋"/>
          <w:color w:val="auto"/>
          <w:sz w:val="24"/>
          <w:highlight w:val="none"/>
        </w:rPr>
        <w:t>（三）甲方确认乙方的自检内容后，组织乙方进行系统验收，验收合格后签署书面文件对验收结果加以确认。</w:t>
      </w:r>
    </w:p>
    <w:p w14:paraId="77155D71">
      <w:pPr>
        <w:tabs>
          <w:tab w:val="left" w:pos="480"/>
        </w:tabs>
        <w:spacing w:line="360" w:lineRule="auto"/>
        <w:ind w:firstLine="480" w:firstLineChars="200"/>
        <w:rPr>
          <w:rFonts w:ascii="仿宋" w:hAnsi="仿宋" w:eastAsia="仿宋"/>
          <w:color w:val="auto"/>
          <w:sz w:val="24"/>
          <w:highlight w:val="none"/>
        </w:rPr>
      </w:pPr>
      <w:r>
        <w:rPr>
          <w:rFonts w:hint="eastAsia" w:ascii="仿宋" w:hAnsi="仿宋" w:eastAsia="仿宋"/>
          <w:color w:val="auto"/>
          <w:sz w:val="24"/>
          <w:highlight w:val="none"/>
        </w:rPr>
        <w:t>（四）乙方向甲方提交货物实施过程中的所有资料。以便甲方日后管理和维护。</w:t>
      </w:r>
    </w:p>
    <w:p w14:paraId="2A4E8772">
      <w:pPr>
        <w:tabs>
          <w:tab w:val="left" w:pos="480"/>
        </w:tabs>
        <w:spacing w:line="360" w:lineRule="auto"/>
        <w:ind w:firstLine="480" w:firstLineChars="200"/>
        <w:rPr>
          <w:rFonts w:ascii="仿宋" w:hAnsi="仿宋" w:eastAsia="仿宋"/>
          <w:color w:val="auto"/>
          <w:sz w:val="24"/>
          <w:highlight w:val="none"/>
        </w:rPr>
      </w:pPr>
      <w:r>
        <w:rPr>
          <w:rFonts w:hint="eastAsia" w:ascii="仿宋" w:hAnsi="仿宋" w:eastAsia="仿宋"/>
          <w:color w:val="auto"/>
          <w:sz w:val="24"/>
          <w:highlight w:val="none"/>
        </w:rPr>
        <w:t>（五）验收依据：</w:t>
      </w:r>
    </w:p>
    <w:p w14:paraId="05546AAD">
      <w:pPr>
        <w:tabs>
          <w:tab w:val="left" w:pos="480"/>
        </w:tabs>
        <w:spacing w:line="360" w:lineRule="auto"/>
        <w:ind w:firstLine="480" w:firstLineChars="200"/>
        <w:rPr>
          <w:rFonts w:ascii="仿宋" w:hAnsi="仿宋" w:eastAsia="仿宋"/>
          <w:color w:val="auto"/>
          <w:sz w:val="24"/>
          <w:highlight w:val="none"/>
        </w:rPr>
      </w:pPr>
      <w:r>
        <w:rPr>
          <w:rFonts w:hint="eastAsia" w:ascii="仿宋" w:hAnsi="仿宋" w:eastAsia="仿宋"/>
          <w:color w:val="auto"/>
          <w:sz w:val="24"/>
          <w:highlight w:val="none"/>
        </w:rPr>
        <w:t>1、磋商文件、磋商响应文件、澄清表（函）；</w:t>
      </w:r>
    </w:p>
    <w:p w14:paraId="0A8EC074">
      <w:pPr>
        <w:tabs>
          <w:tab w:val="left" w:pos="480"/>
        </w:tabs>
        <w:spacing w:line="360" w:lineRule="auto"/>
        <w:ind w:firstLine="480" w:firstLineChars="200"/>
        <w:rPr>
          <w:rFonts w:ascii="仿宋" w:hAnsi="仿宋" w:eastAsia="仿宋"/>
          <w:color w:val="auto"/>
          <w:sz w:val="24"/>
          <w:highlight w:val="none"/>
        </w:rPr>
      </w:pPr>
      <w:r>
        <w:rPr>
          <w:rFonts w:hint="eastAsia" w:ascii="仿宋" w:hAnsi="仿宋" w:eastAsia="仿宋"/>
          <w:color w:val="auto"/>
          <w:sz w:val="24"/>
          <w:highlight w:val="none"/>
        </w:rPr>
        <w:t>2、本合同及附件文本；</w:t>
      </w:r>
    </w:p>
    <w:p w14:paraId="206228F6">
      <w:pPr>
        <w:tabs>
          <w:tab w:val="left" w:pos="480"/>
        </w:tabs>
        <w:spacing w:line="360" w:lineRule="auto"/>
        <w:ind w:firstLine="480" w:firstLineChars="200"/>
        <w:rPr>
          <w:rFonts w:hint="eastAsia" w:ascii="仿宋" w:hAnsi="仿宋" w:eastAsia="仿宋"/>
          <w:color w:val="auto"/>
          <w:sz w:val="24"/>
          <w:highlight w:val="none"/>
        </w:rPr>
      </w:pPr>
      <w:r>
        <w:rPr>
          <w:rFonts w:hint="eastAsia" w:ascii="仿宋" w:hAnsi="仿宋" w:eastAsia="仿宋"/>
          <w:color w:val="auto"/>
          <w:sz w:val="24"/>
          <w:highlight w:val="none"/>
        </w:rPr>
        <w:t>3、国家相应的标准、规范。</w:t>
      </w:r>
    </w:p>
    <w:p w14:paraId="26836FC2">
      <w:pPr>
        <w:tabs>
          <w:tab w:val="left" w:pos="480"/>
        </w:tabs>
        <w:spacing w:line="360" w:lineRule="auto"/>
        <w:ind w:firstLine="482" w:firstLineChars="200"/>
        <w:rPr>
          <w:rFonts w:ascii="仿宋" w:hAnsi="仿宋" w:eastAsia="仿宋"/>
          <w:b/>
          <w:color w:val="auto"/>
          <w:sz w:val="24"/>
          <w:highlight w:val="none"/>
        </w:rPr>
      </w:pPr>
      <w:r>
        <w:rPr>
          <w:rFonts w:hint="eastAsia" w:ascii="仿宋" w:hAnsi="仿宋" w:eastAsia="仿宋"/>
          <w:b/>
          <w:color w:val="auto"/>
          <w:sz w:val="24"/>
          <w:highlight w:val="none"/>
        </w:rPr>
        <w:t>十三、违约责任</w:t>
      </w:r>
    </w:p>
    <w:p w14:paraId="4887F7E3">
      <w:pPr>
        <w:tabs>
          <w:tab w:val="left" w:pos="480"/>
        </w:tabs>
        <w:spacing w:line="360" w:lineRule="auto"/>
        <w:ind w:firstLine="480" w:firstLineChars="200"/>
        <w:rPr>
          <w:rFonts w:ascii="仿宋" w:hAnsi="仿宋" w:eastAsia="仿宋"/>
          <w:color w:val="auto"/>
          <w:sz w:val="24"/>
          <w:highlight w:val="none"/>
        </w:rPr>
      </w:pPr>
      <w:r>
        <w:rPr>
          <w:rFonts w:hint="eastAsia" w:ascii="仿宋" w:hAnsi="仿宋" w:eastAsia="仿宋"/>
          <w:color w:val="auto"/>
          <w:sz w:val="24"/>
          <w:highlight w:val="none"/>
        </w:rPr>
        <w:t>（一）按《政府采购法》、《中华人民共和国民法典》中的相关条款执行。</w:t>
      </w:r>
    </w:p>
    <w:p w14:paraId="7A030DB0">
      <w:pPr>
        <w:tabs>
          <w:tab w:val="left" w:pos="480"/>
        </w:tabs>
        <w:spacing w:line="360" w:lineRule="auto"/>
        <w:ind w:firstLine="480" w:firstLineChars="200"/>
        <w:rPr>
          <w:rFonts w:ascii="仿宋" w:hAnsi="仿宋" w:eastAsia="仿宋"/>
          <w:color w:val="auto"/>
          <w:sz w:val="24"/>
          <w:highlight w:val="none"/>
        </w:rPr>
      </w:pPr>
      <w:r>
        <w:rPr>
          <w:rFonts w:hint="eastAsia" w:ascii="仿宋" w:hAnsi="仿宋" w:eastAsia="仿宋"/>
          <w:color w:val="auto"/>
          <w:sz w:val="24"/>
          <w:highlight w:val="none"/>
        </w:rPr>
        <w:t>（二）未按合同要求提供</w:t>
      </w:r>
      <w:r>
        <w:rPr>
          <w:rFonts w:hint="eastAsia" w:ascii="仿宋" w:hAnsi="仿宋" w:eastAsia="仿宋"/>
          <w:color w:val="auto"/>
          <w:sz w:val="24"/>
          <w:highlight w:val="none"/>
          <w:lang w:val="en-US" w:eastAsia="zh-CN"/>
        </w:rPr>
        <w:t>服务</w:t>
      </w:r>
      <w:r>
        <w:rPr>
          <w:rFonts w:hint="eastAsia" w:ascii="仿宋" w:hAnsi="仿宋" w:eastAsia="仿宋"/>
          <w:color w:val="auto"/>
          <w:sz w:val="24"/>
          <w:highlight w:val="none"/>
        </w:rPr>
        <w:t>或</w:t>
      </w:r>
      <w:r>
        <w:rPr>
          <w:rFonts w:hint="eastAsia" w:ascii="仿宋" w:hAnsi="仿宋" w:eastAsia="仿宋"/>
          <w:color w:val="auto"/>
          <w:sz w:val="24"/>
          <w:highlight w:val="none"/>
          <w:lang w:val="en-US" w:eastAsia="zh-CN"/>
        </w:rPr>
        <w:t>服务内容、</w:t>
      </w:r>
      <w:r>
        <w:rPr>
          <w:rFonts w:hint="eastAsia" w:ascii="仿宋" w:hAnsi="仿宋" w:eastAsia="仿宋"/>
          <w:color w:val="auto"/>
          <w:sz w:val="24"/>
          <w:highlight w:val="none"/>
        </w:rPr>
        <w:t>质量不能满足磋商文件技术要求，乙方必须在【3】日内无条件免费更换或整改，提高技术，完善质量，同时需向甲方支付【1】%的违约金；乙方拒不整改调整或整改调整【1】次后仍无法达到磋商文件要求的，甲方有权解除合同，合同自书面解除通知送达乙方之日起解除，乙方应当按照合同总价的【</w:t>
      </w:r>
      <w:r>
        <w:rPr>
          <w:rFonts w:hint="eastAsia" w:ascii="仿宋" w:hAnsi="仿宋" w:eastAsia="仿宋"/>
          <w:color w:val="auto"/>
          <w:sz w:val="24"/>
          <w:highlight w:val="none"/>
          <w:lang w:val="en-US" w:eastAsia="zh-CN"/>
        </w:rPr>
        <w:t>5</w:t>
      </w:r>
      <w:r>
        <w:rPr>
          <w:rFonts w:hint="eastAsia" w:ascii="仿宋" w:hAnsi="仿宋" w:eastAsia="仿宋"/>
          <w:color w:val="auto"/>
          <w:sz w:val="24"/>
          <w:highlight w:val="none"/>
        </w:rPr>
        <w:t>】%向甲方支付违约金，违约金不足以弥补甲方损失的，乙方需另行支付。同时，甲方有权对乙方的违约行为报监管机构进行相应的处罚。</w:t>
      </w:r>
    </w:p>
    <w:p w14:paraId="18B98C22">
      <w:pPr>
        <w:tabs>
          <w:tab w:val="left" w:pos="480"/>
        </w:tabs>
        <w:spacing w:line="360" w:lineRule="auto"/>
        <w:ind w:firstLine="480" w:firstLineChars="200"/>
        <w:rPr>
          <w:rFonts w:hint="eastAsia" w:ascii="仿宋" w:hAnsi="仿宋" w:eastAsia="仿宋"/>
          <w:color w:val="auto"/>
          <w:sz w:val="24"/>
          <w:highlight w:val="none"/>
        </w:rPr>
      </w:pPr>
      <w:r>
        <w:rPr>
          <w:rFonts w:hint="eastAsia" w:ascii="仿宋" w:hAnsi="仿宋" w:eastAsia="仿宋"/>
          <w:color w:val="auto"/>
          <w:sz w:val="24"/>
          <w:highlight w:val="none"/>
        </w:rPr>
        <w:t>（三）乙方未按照合同约定期限履行义务</w:t>
      </w:r>
      <w:r>
        <w:rPr>
          <w:rFonts w:hint="eastAsia" w:ascii="仿宋" w:hAnsi="仿宋" w:eastAsia="仿宋"/>
          <w:color w:val="auto"/>
          <w:sz w:val="24"/>
          <w:highlight w:val="none"/>
          <w:lang w:val="en-US" w:eastAsia="zh-CN"/>
        </w:rPr>
        <w:t>或未按合同第四条第（一）款约定的时限排除故障</w:t>
      </w:r>
      <w:r>
        <w:rPr>
          <w:rFonts w:hint="eastAsia" w:ascii="仿宋" w:hAnsi="仿宋" w:eastAsia="仿宋"/>
          <w:color w:val="auto"/>
          <w:sz w:val="24"/>
          <w:highlight w:val="none"/>
        </w:rPr>
        <w:t>时，每迟延一天，应当按照合同总价款的</w:t>
      </w:r>
      <w:r>
        <w:rPr>
          <w:rFonts w:hint="eastAsia" w:ascii="仿宋" w:hAnsi="仿宋" w:eastAsia="仿宋"/>
          <w:color w:val="auto"/>
          <w:sz w:val="24"/>
          <w:highlight w:val="none"/>
          <w:u w:val="single"/>
          <w:lang w:val="en-US" w:eastAsia="zh-CN"/>
        </w:rPr>
        <w:t>1</w:t>
      </w:r>
      <w:r>
        <w:rPr>
          <w:rFonts w:hint="eastAsia" w:ascii="仿宋" w:hAnsi="仿宋" w:eastAsia="仿宋"/>
          <w:color w:val="auto"/>
          <w:sz w:val="24"/>
          <w:highlight w:val="none"/>
          <w:u w:val="single"/>
        </w:rPr>
        <w:t xml:space="preserve"> </w:t>
      </w:r>
      <w:r>
        <w:rPr>
          <w:rFonts w:hint="eastAsia" w:ascii="仿宋" w:hAnsi="仿宋" w:eastAsia="仿宋"/>
          <w:color w:val="auto"/>
          <w:sz w:val="24"/>
          <w:highlight w:val="none"/>
        </w:rPr>
        <w:t>‰向甲方支付违约金；累计迟延【7】天时，视为乙方根本违约，甲方有权单方解除合同，合同自甲方书面解除通知送达乙方之日起解除，乙方应当按照合同总价的【</w:t>
      </w:r>
      <w:r>
        <w:rPr>
          <w:rFonts w:hint="eastAsia" w:ascii="仿宋" w:hAnsi="仿宋" w:eastAsia="仿宋"/>
          <w:color w:val="auto"/>
          <w:sz w:val="24"/>
          <w:highlight w:val="none"/>
          <w:lang w:val="en-US" w:eastAsia="zh-CN"/>
        </w:rPr>
        <w:t>5</w:t>
      </w:r>
      <w:r>
        <w:rPr>
          <w:rFonts w:hint="eastAsia" w:ascii="仿宋" w:hAnsi="仿宋" w:eastAsia="仿宋"/>
          <w:color w:val="auto"/>
          <w:sz w:val="24"/>
          <w:highlight w:val="none"/>
        </w:rPr>
        <w:t>】%向甲方支付违约金，违约金不足以弥补甲方损失的，乙方需另行支付。</w:t>
      </w:r>
    </w:p>
    <w:p w14:paraId="266AE0CC">
      <w:pPr>
        <w:tabs>
          <w:tab w:val="left" w:pos="480"/>
        </w:tabs>
        <w:spacing w:line="360" w:lineRule="auto"/>
        <w:ind w:firstLine="480" w:firstLineChars="200"/>
        <w:rPr>
          <w:rFonts w:ascii="仿宋" w:hAnsi="仿宋" w:eastAsia="仿宋"/>
          <w:color w:val="auto"/>
          <w:sz w:val="24"/>
          <w:highlight w:val="none"/>
        </w:rPr>
      </w:pPr>
      <w:r>
        <w:rPr>
          <w:rFonts w:hint="eastAsia" w:ascii="仿宋" w:hAnsi="仿宋" w:eastAsia="仿宋"/>
          <w:color w:val="auto"/>
          <w:sz w:val="24"/>
          <w:highlight w:val="none"/>
        </w:rPr>
        <w:t>（四）乙方应就履行本合同所获取的甲方一切非公开信息进行保密，不得向第三方泄露，亦不得将上述信息用于其他商业目的，否则，甲方有权单方解除合同，合同自甲方书面解除通知送达乙方之日起解除，乙方应当按照合同总价的【</w:t>
      </w:r>
      <w:r>
        <w:rPr>
          <w:rFonts w:hint="eastAsia" w:ascii="仿宋" w:hAnsi="仿宋" w:eastAsia="仿宋"/>
          <w:color w:val="auto"/>
          <w:sz w:val="24"/>
          <w:highlight w:val="none"/>
          <w:lang w:val="en-US" w:eastAsia="zh-CN"/>
        </w:rPr>
        <w:t>5</w:t>
      </w:r>
      <w:r>
        <w:rPr>
          <w:rFonts w:hint="eastAsia" w:ascii="仿宋" w:hAnsi="仿宋" w:eastAsia="仿宋"/>
          <w:color w:val="auto"/>
          <w:sz w:val="24"/>
          <w:highlight w:val="none"/>
        </w:rPr>
        <w:t>】%向甲方支付违约金，违约金不足以弥补甲方损失的，乙方需另行支付。</w:t>
      </w:r>
    </w:p>
    <w:p w14:paraId="17DCD90E">
      <w:pPr>
        <w:tabs>
          <w:tab w:val="left" w:pos="480"/>
        </w:tabs>
        <w:spacing w:line="360" w:lineRule="auto"/>
        <w:ind w:firstLine="480" w:firstLineChars="200"/>
        <w:rPr>
          <w:rFonts w:ascii="仿宋" w:hAnsi="仿宋" w:eastAsia="仿宋"/>
          <w:color w:val="auto"/>
          <w:sz w:val="24"/>
          <w:highlight w:val="none"/>
        </w:rPr>
      </w:pPr>
      <w:r>
        <w:rPr>
          <w:rFonts w:hint="eastAsia" w:ascii="仿宋" w:hAnsi="仿宋" w:eastAsia="仿宋"/>
          <w:color w:val="auto"/>
          <w:sz w:val="24"/>
          <w:highlight w:val="none"/>
        </w:rPr>
        <w:t>（五）乙方应确保本合同项下系统安全、平稳运行，不会对甲方既有系统、数据安全造成影响，否则应当就甲方因此产生的损失承担全部赔偿责任。</w:t>
      </w:r>
    </w:p>
    <w:p w14:paraId="225C1097">
      <w:pPr>
        <w:tabs>
          <w:tab w:val="left" w:pos="480"/>
        </w:tabs>
        <w:spacing w:line="360" w:lineRule="auto"/>
        <w:ind w:firstLine="480" w:firstLineChars="200"/>
        <w:rPr>
          <w:rFonts w:ascii="仿宋" w:hAnsi="仿宋" w:eastAsia="仿宋"/>
          <w:color w:val="auto"/>
          <w:sz w:val="24"/>
          <w:highlight w:val="none"/>
        </w:rPr>
      </w:pPr>
      <w:r>
        <w:rPr>
          <w:rFonts w:hint="eastAsia" w:ascii="仿宋" w:hAnsi="仿宋" w:eastAsia="仿宋"/>
          <w:color w:val="auto"/>
          <w:sz w:val="24"/>
          <w:highlight w:val="none"/>
        </w:rPr>
        <w:t>（六）乙方违约时，甲方为主张权利而支出的各项费用由乙方承担。</w:t>
      </w:r>
    </w:p>
    <w:p w14:paraId="78714C7D">
      <w:pPr>
        <w:tabs>
          <w:tab w:val="left" w:pos="480"/>
        </w:tabs>
        <w:spacing w:line="360" w:lineRule="auto"/>
        <w:ind w:firstLine="482" w:firstLineChars="200"/>
        <w:rPr>
          <w:rFonts w:ascii="仿宋" w:hAnsi="仿宋" w:eastAsia="仿宋"/>
          <w:b/>
          <w:color w:val="auto"/>
          <w:sz w:val="24"/>
          <w:highlight w:val="none"/>
        </w:rPr>
      </w:pPr>
      <w:r>
        <w:rPr>
          <w:rFonts w:hint="eastAsia" w:ascii="仿宋" w:hAnsi="仿宋" w:eastAsia="仿宋"/>
          <w:b/>
          <w:color w:val="auto"/>
          <w:sz w:val="24"/>
          <w:highlight w:val="none"/>
        </w:rPr>
        <w:t>十四、合同争议解决的方式</w:t>
      </w:r>
    </w:p>
    <w:p w14:paraId="433FD34F">
      <w:pPr>
        <w:tabs>
          <w:tab w:val="left" w:pos="480"/>
        </w:tabs>
        <w:spacing w:line="360" w:lineRule="auto"/>
        <w:ind w:firstLine="480" w:firstLineChars="200"/>
        <w:rPr>
          <w:rFonts w:ascii="仿宋" w:hAnsi="仿宋" w:eastAsia="仿宋"/>
          <w:color w:val="auto"/>
          <w:sz w:val="24"/>
          <w:highlight w:val="none"/>
        </w:rPr>
      </w:pPr>
      <w:r>
        <w:rPr>
          <w:rFonts w:hint="eastAsia" w:ascii="仿宋" w:hAnsi="仿宋" w:eastAsia="仿宋"/>
          <w:color w:val="auto"/>
          <w:sz w:val="24"/>
          <w:highlight w:val="none"/>
        </w:rPr>
        <w:t>本合同在履行过程中发生的争议，由甲、乙双方当事人协商解决，协商不成的，任意一方有权向甲方所在地人民法院起诉。</w:t>
      </w:r>
    </w:p>
    <w:p w14:paraId="6CEE7E58">
      <w:pPr>
        <w:tabs>
          <w:tab w:val="left" w:pos="480"/>
        </w:tabs>
        <w:spacing w:line="360" w:lineRule="auto"/>
        <w:ind w:firstLine="472" w:firstLineChars="196"/>
        <w:rPr>
          <w:rFonts w:ascii="仿宋" w:hAnsi="仿宋" w:eastAsia="仿宋"/>
          <w:b/>
          <w:color w:val="auto"/>
          <w:sz w:val="24"/>
          <w:highlight w:val="none"/>
        </w:rPr>
      </w:pPr>
      <w:r>
        <w:rPr>
          <w:rFonts w:hint="eastAsia" w:ascii="仿宋" w:hAnsi="仿宋" w:eastAsia="仿宋"/>
          <w:b/>
          <w:color w:val="auto"/>
          <w:sz w:val="24"/>
          <w:highlight w:val="none"/>
        </w:rPr>
        <w:t>十五、合同生效</w:t>
      </w:r>
    </w:p>
    <w:p w14:paraId="2D0A109B">
      <w:pPr>
        <w:tabs>
          <w:tab w:val="left" w:pos="480"/>
        </w:tabs>
        <w:spacing w:line="360" w:lineRule="auto"/>
        <w:ind w:firstLine="480" w:firstLineChars="200"/>
        <w:rPr>
          <w:rFonts w:ascii="仿宋" w:hAnsi="仿宋" w:eastAsia="仿宋"/>
          <w:color w:val="auto"/>
          <w:sz w:val="24"/>
          <w:highlight w:val="none"/>
        </w:rPr>
      </w:pPr>
      <w:r>
        <w:rPr>
          <w:rFonts w:hint="eastAsia" w:ascii="仿宋" w:hAnsi="仿宋" w:eastAsia="仿宋"/>
          <w:color w:val="auto"/>
          <w:sz w:val="24"/>
          <w:highlight w:val="none"/>
        </w:rPr>
        <w:t>本合同一式</w:t>
      </w:r>
      <w:r>
        <w:rPr>
          <w:rFonts w:hint="eastAsia" w:ascii="仿宋" w:hAnsi="仿宋" w:eastAsia="仿宋"/>
          <w:color w:val="auto"/>
          <w:sz w:val="24"/>
          <w:highlight w:val="none"/>
          <w:u w:val="single"/>
        </w:rPr>
        <w:t xml:space="preserve"> </w:t>
      </w:r>
      <w:r>
        <w:rPr>
          <w:rFonts w:hint="eastAsia" w:ascii="仿宋" w:hAnsi="仿宋" w:eastAsia="仿宋"/>
          <w:color w:val="auto"/>
          <w:sz w:val="24"/>
          <w:highlight w:val="none"/>
          <w:u w:val="single"/>
          <w:lang w:val="en-US" w:eastAsia="zh-CN"/>
        </w:rPr>
        <w:t>伍</w:t>
      </w:r>
      <w:r>
        <w:rPr>
          <w:rFonts w:hint="eastAsia" w:ascii="仿宋" w:hAnsi="仿宋" w:eastAsia="仿宋"/>
          <w:color w:val="auto"/>
          <w:sz w:val="24"/>
          <w:highlight w:val="none"/>
          <w:u w:val="single"/>
        </w:rPr>
        <w:t xml:space="preserve"> </w:t>
      </w:r>
      <w:r>
        <w:rPr>
          <w:rFonts w:hint="eastAsia" w:ascii="仿宋" w:hAnsi="仿宋" w:eastAsia="仿宋"/>
          <w:color w:val="auto"/>
          <w:sz w:val="24"/>
          <w:highlight w:val="none"/>
        </w:rPr>
        <w:t>份，甲方</w:t>
      </w:r>
      <w:r>
        <w:rPr>
          <w:rFonts w:hint="eastAsia" w:ascii="仿宋" w:hAnsi="仿宋" w:eastAsia="仿宋"/>
          <w:color w:val="auto"/>
          <w:sz w:val="24"/>
          <w:highlight w:val="none"/>
          <w:u w:val="single"/>
        </w:rPr>
        <w:t xml:space="preserve"> 叁 </w:t>
      </w:r>
      <w:r>
        <w:rPr>
          <w:rFonts w:hint="eastAsia" w:ascii="仿宋" w:hAnsi="仿宋" w:eastAsia="仿宋"/>
          <w:color w:val="auto"/>
          <w:sz w:val="24"/>
          <w:highlight w:val="none"/>
        </w:rPr>
        <w:t>份、乙方</w:t>
      </w:r>
      <w:r>
        <w:rPr>
          <w:rFonts w:hint="eastAsia" w:ascii="仿宋" w:hAnsi="仿宋" w:eastAsia="仿宋"/>
          <w:color w:val="auto"/>
          <w:sz w:val="24"/>
          <w:highlight w:val="none"/>
          <w:u w:val="single"/>
        </w:rPr>
        <w:t xml:space="preserve"> </w:t>
      </w:r>
      <w:r>
        <w:rPr>
          <w:rFonts w:hint="eastAsia" w:ascii="仿宋" w:hAnsi="仿宋" w:eastAsia="仿宋"/>
          <w:color w:val="auto"/>
          <w:sz w:val="24"/>
          <w:highlight w:val="none"/>
          <w:u w:val="single"/>
          <w:lang w:val="en-US" w:eastAsia="zh-CN"/>
        </w:rPr>
        <w:t>贰</w:t>
      </w:r>
      <w:r>
        <w:rPr>
          <w:rFonts w:hint="eastAsia" w:ascii="仿宋" w:hAnsi="仿宋" w:eastAsia="仿宋"/>
          <w:color w:val="auto"/>
          <w:sz w:val="24"/>
          <w:highlight w:val="none"/>
          <w:u w:val="single"/>
        </w:rPr>
        <w:t xml:space="preserve"> </w:t>
      </w:r>
      <w:r>
        <w:rPr>
          <w:rFonts w:hint="eastAsia" w:ascii="仿宋" w:hAnsi="仿宋" w:eastAsia="仿宋"/>
          <w:color w:val="auto"/>
          <w:sz w:val="24"/>
          <w:highlight w:val="none"/>
        </w:rPr>
        <w:t>份，具有同等法律效力。本合同自甲、乙双签字盖章后生效，合同执行完毕后，自动终止（合同的服务承诺则长期有效）。</w:t>
      </w:r>
    </w:p>
    <w:p w14:paraId="11E925E6">
      <w:pPr>
        <w:tabs>
          <w:tab w:val="left" w:pos="480"/>
        </w:tabs>
        <w:spacing w:line="360" w:lineRule="auto"/>
        <w:ind w:firstLine="472" w:firstLineChars="196"/>
        <w:rPr>
          <w:rFonts w:ascii="仿宋" w:hAnsi="仿宋" w:eastAsia="仿宋"/>
          <w:b/>
          <w:color w:val="auto"/>
          <w:sz w:val="24"/>
          <w:highlight w:val="none"/>
        </w:rPr>
      </w:pPr>
      <w:r>
        <w:rPr>
          <w:rFonts w:hint="eastAsia" w:ascii="仿宋" w:hAnsi="仿宋" w:eastAsia="仿宋"/>
          <w:b/>
          <w:color w:val="auto"/>
          <w:sz w:val="24"/>
          <w:highlight w:val="none"/>
        </w:rPr>
        <w:t>十六、其他事项</w:t>
      </w:r>
    </w:p>
    <w:p w14:paraId="4829A684">
      <w:pPr>
        <w:tabs>
          <w:tab w:val="left" w:pos="480"/>
        </w:tabs>
        <w:spacing w:line="360" w:lineRule="auto"/>
        <w:ind w:firstLine="480" w:firstLineChars="200"/>
        <w:rPr>
          <w:rFonts w:ascii="仿宋" w:hAnsi="仿宋" w:eastAsia="仿宋"/>
          <w:color w:val="auto"/>
          <w:sz w:val="24"/>
          <w:highlight w:val="none"/>
        </w:rPr>
      </w:pPr>
      <w:r>
        <w:rPr>
          <w:rFonts w:hint="eastAsia" w:ascii="仿宋" w:hAnsi="仿宋" w:eastAsia="仿宋"/>
          <w:color w:val="auto"/>
          <w:sz w:val="24"/>
          <w:highlight w:val="none"/>
        </w:rPr>
        <w:t>（</w:t>
      </w:r>
      <w:r>
        <w:rPr>
          <w:rFonts w:hint="eastAsia" w:ascii="仿宋" w:hAnsi="仿宋" w:eastAsia="仿宋"/>
          <w:color w:val="auto"/>
          <w:sz w:val="24"/>
          <w:highlight w:val="none"/>
          <w:lang w:val="en-US" w:eastAsia="zh-CN"/>
        </w:rPr>
        <w:t>一</w:t>
      </w:r>
      <w:r>
        <w:rPr>
          <w:rFonts w:hint="eastAsia" w:ascii="仿宋" w:hAnsi="仿宋" w:eastAsia="仿宋"/>
          <w:color w:val="auto"/>
          <w:sz w:val="24"/>
          <w:highlight w:val="none"/>
        </w:rPr>
        <w:t>）招标文件、应标文件、澄清表（函）、中标通知书、合同附件均成为合同不可分割的部分。</w:t>
      </w:r>
    </w:p>
    <w:p w14:paraId="06E44A89">
      <w:pPr>
        <w:tabs>
          <w:tab w:val="left" w:pos="480"/>
        </w:tabs>
        <w:spacing w:line="360" w:lineRule="auto"/>
        <w:ind w:firstLine="480" w:firstLineChars="200"/>
        <w:rPr>
          <w:rFonts w:ascii="仿宋" w:hAnsi="仿宋" w:eastAsia="仿宋"/>
          <w:color w:val="auto"/>
          <w:sz w:val="24"/>
          <w:highlight w:val="none"/>
        </w:rPr>
      </w:pPr>
      <w:r>
        <w:rPr>
          <w:rFonts w:hint="eastAsia" w:ascii="仿宋" w:hAnsi="仿宋" w:eastAsia="仿宋"/>
          <w:color w:val="auto"/>
          <w:sz w:val="24"/>
          <w:highlight w:val="none"/>
        </w:rPr>
        <w:t>（</w:t>
      </w:r>
      <w:r>
        <w:rPr>
          <w:rFonts w:hint="eastAsia" w:ascii="仿宋" w:hAnsi="仿宋" w:eastAsia="仿宋"/>
          <w:color w:val="auto"/>
          <w:sz w:val="24"/>
          <w:highlight w:val="none"/>
          <w:lang w:val="en-US" w:eastAsia="zh-CN"/>
        </w:rPr>
        <w:t>二</w:t>
      </w:r>
      <w:r>
        <w:rPr>
          <w:rFonts w:hint="eastAsia" w:ascii="仿宋" w:hAnsi="仿宋" w:eastAsia="仿宋"/>
          <w:color w:val="auto"/>
          <w:sz w:val="24"/>
          <w:highlight w:val="none"/>
        </w:rPr>
        <w:t>）合同未尽事宜，由甲、乙双方协商，作为合同补充，与原合同具有同等法律效力。</w:t>
      </w:r>
    </w:p>
    <w:p w14:paraId="12B524BC">
      <w:pPr>
        <w:tabs>
          <w:tab w:val="left" w:pos="480"/>
        </w:tabs>
        <w:spacing w:line="360" w:lineRule="auto"/>
        <w:ind w:firstLine="480" w:firstLineChars="200"/>
        <w:rPr>
          <w:rFonts w:ascii="仿宋" w:hAnsi="仿宋" w:eastAsia="仿宋"/>
          <w:color w:val="auto"/>
          <w:sz w:val="24"/>
          <w:highlight w:val="none"/>
        </w:rPr>
      </w:pPr>
      <w:r>
        <w:rPr>
          <w:rFonts w:hint="eastAsia" w:ascii="仿宋" w:hAnsi="仿宋" w:eastAsia="仿宋"/>
          <w:color w:val="auto"/>
          <w:sz w:val="24"/>
          <w:highlight w:val="none"/>
        </w:rPr>
        <w:t>（</w:t>
      </w:r>
      <w:r>
        <w:rPr>
          <w:rFonts w:hint="eastAsia" w:ascii="仿宋" w:hAnsi="仿宋" w:eastAsia="仿宋"/>
          <w:color w:val="auto"/>
          <w:sz w:val="24"/>
          <w:highlight w:val="none"/>
          <w:lang w:val="en-US" w:eastAsia="zh-CN"/>
        </w:rPr>
        <w:t>三</w:t>
      </w:r>
      <w:r>
        <w:rPr>
          <w:rFonts w:hint="eastAsia" w:ascii="仿宋" w:hAnsi="仿宋" w:eastAsia="仿宋"/>
          <w:color w:val="auto"/>
          <w:sz w:val="24"/>
          <w:highlight w:val="none"/>
        </w:rPr>
        <w:t>）合同一经签订，不得擅自变更、中止或终止合同。对确需变更、调整或中止、终止合同的，应按规定履行相应的手续。</w:t>
      </w:r>
    </w:p>
    <w:p w14:paraId="6EA9EB42">
      <w:pPr>
        <w:tabs>
          <w:tab w:val="left" w:pos="480"/>
        </w:tabs>
        <w:spacing w:line="360" w:lineRule="auto"/>
        <w:ind w:firstLine="480" w:firstLineChars="200"/>
        <w:rPr>
          <w:rFonts w:ascii="仿宋" w:hAnsi="仿宋" w:eastAsia="仿宋"/>
          <w:color w:val="auto"/>
          <w:sz w:val="24"/>
          <w:highlight w:val="none"/>
        </w:rPr>
      </w:pPr>
      <w:r>
        <w:rPr>
          <w:rFonts w:hint="eastAsia" w:ascii="仿宋" w:hAnsi="仿宋" w:eastAsia="仿宋"/>
          <w:color w:val="auto"/>
          <w:sz w:val="24"/>
          <w:highlight w:val="none"/>
        </w:rPr>
        <w:t>（</w:t>
      </w:r>
      <w:r>
        <w:rPr>
          <w:rFonts w:hint="eastAsia" w:ascii="仿宋" w:hAnsi="仿宋" w:eastAsia="仿宋"/>
          <w:color w:val="auto"/>
          <w:sz w:val="24"/>
          <w:highlight w:val="none"/>
          <w:lang w:val="en-US" w:eastAsia="zh-CN"/>
        </w:rPr>
        <w:t>四</w:t>
      </w:r>
      <w:bookmarkStart w:id="2" w:name="_GoBack"/>
      <w:bookmarkEnd w:id="2"/>
      <w:r>
        <w:rPr>
          <w:rFonts w:hint="eastAsia" w:ascii="仿宋" w:hAnsi="仿宋" w:eastAsia="仿宋"/>
          <w:color w:val="auto"/>
          <w:sz w:val="24"/>
          <w:highlight w:val="none"/>
        </w:rPr>
        <w:t>）本合同按照中华人民共和国的现行法律进行解释。</w:t>
      </w:r>
    </w:p>
    <w:p w14:paraId="020BC263">
      <w:pPr>
        <w:tabs>
          <w:tab w:val="left" w:pos="480"/>
        </w:tabs>
        <w:spacing w:line="360" w:lineRule="auto"/>
        <w:rPr>
          <w:rFonts w:hint="eastAsia" w:ascii="仿宋" w:hAnsi="仿宋" w:eastAsia="仿宋"/>
          <w:color w:val="auto"/>
          <w:sz w:val="24"/>
          <w:highlight w:val="none"/>
        </w:rPr>
      </w:pPr>
      <w:r>
        <w:rPr>
          <w:rFonts w:hint="eastAsia" w:ascii="仿宋" w:hAnsi="仿宋" w:eastAsia="仿宋"/>
          <w:color w:val="auto"/>
          <w:sz w:val="24"/>
          <w:highlight w:val="none"/>
        </w:rPr>
        <w:t xml:space="preserve">甲  方：（公章）                    乙  方：（公章） </w:t>
      </w:r>
    </w:p>
    <w:p w14:paraId="3EB8CF75">
      <w:pPr>
        <w:tabs>
          <w:tab w:val="left" w:pos="480"/>
        </w:tabs>
        <w:spacing w:line="360" w:lineRule="auto"/>
        <w:rPr>
          <w:rFonts w:ascii="仿宋" w:hAnsi="仿宋" w:eastAsia="仿宋"/>
          <w:color w:val="auto"/>
          <w:sz w:val="24"/>
          <w:highlight w:val="none"/>
        </w:rPr>
      </w:pPr>
      <w:r>
        <w:rPr>
          <w:rFonts w:hint="eastAsia" w:ascii="仿宋" w:hAnsi="仿宋" w:eastAsia="仿宋"/>
          <w:color w:val="auto"/>
          <w:sz w:val="24"/>
          <w:highlight w:val="none"/>
        </w:rPr>
        <w:t xml:space="preserve">             </w:t>
      </w:r>
    </w:p>
    <w:tbl>
      <w:tblPr>
        <w:tblStyle w:val="5"/>
        <w:tblW w:w="0" w:type="auto"/>
        <w:tblInd w:w="-317" w:type="dxa"/>
        <w:tblLayout w:type="fixed"/>
        <w:tblCellMar>
          <w:top w:w="0" w:type="dxa"/>
          <w:left w:w="108" w:type="dxa"/>
          <w:bottom w:w="0" w:type="dxa"/>
          <w:right w:w="108" w:type="dxa"/>
        </w:tblCellMar>
      </w:tblPr>
      <w:tblGrid>
        <w:gridCol w:w="4466"/>
        <w:gridCol w:w="4603"/>
      </w:tblGrid>
      <w:tr w14:paraId="0AF0D9D2">
        <w:tblPrEx>
          <w:tblCellMar>
            <w:top w:w="0" w:type="dxa"/>
            <w:left w:w="108" w:type="dxa"/>
            <w:bottom w:w="0" w:type="dxa"/>
            <w:right w:w="108" w:type="dxa"/>
          </w:tblCellMar>
        </w:tblPrEx>
        <w:tc>
          <w:tcPr>
            <w:tcW w:w="4466" w:type="dxa"/>
            <w:noWrap w:val="0"/>
            <w:vAlign w:val="top"/>
          </w:tcPr>
          <w:p w14:paraId="106952F1">
            <w:pPr>
              <w:tabs>
                <w:tab w:val="left" w:pos="480"/>
              </w:tabs>
              <w:spacing w:line="360" w:lineRule="auto"/>
              <w:rPr>
                <w:color w:val="auto"/>
                <w:highlight w:val="none"/>
              </w:rPr>
            </w:pPr>
            <w:r>
              <w:rPr>
                <w:rFonts w:hint="eastAsia" w:ascii="仿宋" w:hAnsi="仿宋" w:eastAsia="仿宋"/>
                <w:color w:val="auto"/>
                <w:sz w:val="24"/>
                <w:highlight w:val="none"/>
              </w:rPr>
              <w:t>单位名称：西安市精神卫生中心</w:t>
            </w:r>
          </w:p>
          <w:p w14:paraId="07F83EEF">
            <w:pPr>
              <w:tabs>
                <w:tab w:val="left" w:pos="480"/>
              </w:tabs>
              <w:spacing w:line="360" w:lineRule="auto"/>
              <w:rPr>
                <w:color w:val="auto"/>
                <w:highlight w:val="none"/>
              </w:rPr>
            </w:pPr>
            <w:r>
              <w:rPr>
                <w:rFonts w:hint="eastAsia" w:ascii="仿宋" w:hAnsi="仿宋" w:eastAsia="仿宋"/>
                <w:color w:val="auto"/>
                <w:sz w:val="24"/>
                <w:highlight w:val="none"/>
              </w:rPr>
              <w:t>法定代表人或经办人：</w:t>
            </w:r>
          </w:p>
          <w:p w14:paraId="7D8709B1">
            <w:pPr>
              <w:tabs>
                <w:tab w:val="left" w:pos="480"/>
              </w:tabs>
              <w:spacing w:line="360" w:lineRule="auto"/>
              <w:rPr>
                <w:rFonts w:ascii="仿宋" w:hAnsi="仿宋" w:eastAsia="仿宋"/>
                <w:color w:val="auto"/>
                <w:sz w:val="24"/>
                <w:highlight w:val="none"/>
              </w:rPr>
            </w:pPr>
            <w:r>
              <w:rPr>
                <w:rFonts w:hint="eastAsia" w:ascii="仿宋" w:hAnsi="仿宋" w:eastAsia="仿宋"/>
                <w:color w:val="auto"/>
                <w:sz w:val="24"/>
                <w:highlight w:val="none"/>
              </w:rPr>
              <w:t xml:space="preserve">签订日期：  </w:t>
            </w:r>
            <w:r>
              <w:rPr>
                <w:rFonts w:ascii="仿宋" w:hAnsi="仿宋" w:eastAsia="仿宋"/>
                <w:color w:val="auto"/>
                <w:sz w:val="24"/>
                <w:highlight w:val="none"/>
              </w:rPr>
              <w:t xml:space="preserve">   </w:t>
            </w:r>
            <w:r>
              <w:rPr>
                <w:rFonts w:hint="eastAsia" w:ascii="仿宋" w:hAnsi="仿宋" w:eastAsia="仿宋"/>
                <w:color w:val="auto"/>
                <w:sz w:val="24"/>
                <w:highlight w:val="none"/>
              </w:rPr>
              <w:t xml:space="preserve">年   </w:t>
            </w:r>
            <w:r>
              <w:rPr>
                <w:rFonts w:ascii="仿宋" w:hAnsi="仿宋" w:eastAsia="仿宋"/>
                <w:color w:val="auto"/>
                <w:sz w:val="24"/>
                <w:highlight w:val="none"/>
              </w:rPr>
              <w:t xml:space="preserve"> </w:t>
            </w:r>
            <w:r>
              <w:rPr>
                <w:rFonts w:hint="eastAsia" w:ascii="仿宋" w:hAnsi="仿宋" w:eastAsia="仿宋"/>
                <w:color w:val="auto"/>
                <w:sz w:val="24"/>
                <w:highlight w:val="none"/>
              </w:rPr>
              <w:t xml:space="preserve">月   </w:t>
            </w:r>
            <w:r>
              <w:rPr>
                <w:rFonts w:ascii="仿宋" w:hAnsi="仿宋" w:eastAsia="仿宋"/>
                <w:color w:val="auto"/>
                <w:sz w:val="24"/>
                <w:highlight w:val="none"/>
              </w:rPr>
              <w:t xml:space="preserve"> </w:t>
            </w:r>
            <w:r>
              <w:rPr>
                <w:rFonts w:hint="eastAsia" w:ascii="仿宋" w:hAnsi="仿宋" w:eastAsia="仿宋"/>
                <w:color w:val="auto"/>
                <w:sz w:val="24"/>
                <w:highlight w:val="none"/>
              </w:rPr>
              <w:t>日</w:t>
            </w:r>
          </w:p>
        </w:tc>
        <w:tc>
          <w:tcPr>
            <w:tcW w:w="4603" w:type="dxa"/>
            <w:noWrap w:val="0"/>
            <w:vAlign w:val="top"/>
          </w:tcPr>
          <w:p w14:paraId="3380ED41">
            <w:pPr>
              <w:tabs>
                <w:tab w:val="left" w:pos="480"/>
              </w:tabs>
              <w:spacing w:line="360" w:lineRule="auto"/>
              <w:ind w:firstLine="240" w:firstLineChars="100"/>
              <w:rPr>
                <w:color w:val="auto"/>
                <w:highlight w:val="none"/>
              </w:rPr>
            </w:pPr>
            <w:r>
              <w:rPr>
                <w:rFonts w:hint="eastAsia" w:ascii="仿宋" w:hAnsi="仿宋" w:eastAsia="仿宋"/>
                <w:color w:val="auto"/>
                <w:sz w:val="24"/>
                <w:highlight w:val="none"/>
              </w:rPr>
              <w:t>单位名称：</w:t>
            </w:r>
            <w:r>
              <w:rPr>
                <w:rFonts w:ascii="仿宋" w:hAnsi="仿宋" w:eastAsia="仿宋"/>
                <w:color w:val="auto"/>
                <w:sz w:val="24"/>
                <w:highlight w:val="none"/>
              </w:rPr>
              <w:t xml:space="preserve"> </w:t>
            </w:r>
          </w:p>
          <w:p w14:paraId="1402BB77">
            <w:pPr>
              <w:tabs>
                <w:tab w:val="left" w:pos="480"/>
              </w:tabs>
              <w:spacing w:line="360" w:lineRule="auto"/>
              <w:ind w:firstLine="240" w:firstLineChars="100"/>
              <w:rPr>
                <w:rFonts w:ascii="仿宋" w:hAnsi="仿宋" w:eastAsia="仿宋"/>
                <w:color w:val="auto"/>
                <w:sz w:val="24"/>
                <w:highlight w:val="none"/>
              </w:rPr>
            </w:pPr>
            <w:r>
              <w:rPr>
                <w:rFonts w:hint="eastAsia" w:ascii="仿宋" w:hAnsi="仿宋" w:eastAsia="仿宋"/>
                <w:color w:val="auto"/>
                <w:sz w:val="24"/>
                <w:highlight w:val="none"/>
              </w:rPr>
              <w:t>法定代表人或</w:t>
            </w:r>
            <w:r>
              <w:rPr>
                <w:rFonts w:hint="eastAsia" w:ascii="仿宋" w:hAnsi="仿宋" w:eastAsia="仿宋"/>
                <w:color w:val="auto"/>
                <w:sz w:val="24"/>
                <w:highlight w:val="none"/>
                <w:lang w:eastAsia="zh-CN"/>
              </w:rPr>
              <w:t>经办人</w:t>
            </w:r>
            <w:r>
              <w:rPr>
                <w:rFonts w:hint="eastAsia" w:ascii="仿宋" w:hAnsi="仿宋" w:eastAsia="仿宋"/>
                <w:color w:val="auto"/>
                <w:sz w:val="24"/>
                <w:highlight w:val="none"/>
              </w:rPr>
              <w:t xml:space="preserve">：                                                    </w:t>
            </w:r>
          </w:p>
          <w:p w14:paraId="6F3D5AFF">
            <w:pPr>
              <w:tabs>
                <w:tab w:val="left" w:pos="480"/>
              </w:tabs>
              <w:spacing w:line="360" w:lineRule="auto"/>
              <w:ind w:firstLine="240" w:firstLineChars="100"/>
              <w:rPr>
                <w:rFonts w:ascii="仿宋" w:hAnsi="仿宋" w:eastAsia="仿宋"/>
                <w:color w:val="auto"/>
                <w:sz w:val="24"/>
                <w:highlight w:val="none"/>
              </w:rPr>
            </w:pPr>
            <w:r>
              <w:rPr>
                <w:rFonts w:hint="eastAsia" w:ascii="仿宋" w:hAnsi="仿宋" w:eastAsia="仿宋"/>
                <w:color w:val="auto"/>
                <w:sz w:val="24"/>
                <w:highlight w:val="none"/>
              </w:rPr>
              <w:t xml:space="preserve">签订日期： </w:t>
            </w:r>
            <w:r>
              <w:rPr>
                <w:rFonts w:ascii="仿宋" w:hAnsi="仿宋" w:eastAsia="仿宋"/>
                <w:color w:val="auto"/>
                <w:sz w:val="24"/>
                <w:highlight w:val="none"/>
              </w:rPr>
              <w:t xml:space="preserve"> </w:t>
            </w:r>
            <w:r>
              <w:rPr>
                <w:rFonts w:hint="eastAsia" w:ascii="仿宋" w:hAnsi="仿宋" w:eastAsia="仿宋"/>
                <w:color w:val="auto"/>
                <w:sz w:val="24"/>
                <w:highlight w:val="none"/>
              </w:rPr>
              <w:t xml:space="preserve"> </w:t>
            </w:r>
            <w:r>
              <w:rPr>
                <w:rFonts w:ascii="仿宋" w:hAnsi="仿宋" w:eastAsia="仿宋"/>
                <w:color w:val="auto"/>
                <w:sz w:val="24"/>
                <w:highlight w:val="none"/>
              </w:rPr>
              <w:t xml:space="preserve"> </w:t>
            </w:r>
            <w:r>
              <w:rPr>
                <w:rFonts w:hint="eastAsia" w:ascii="仿宋" w:hAnsi="仿宋" w:eastAsia="仿宋"/>
                <w:color w:val="auto"/>
                <w:sz w:val="24"/>
                <w:highlight w:val="none"/>
              </w:rPr>
              <w:t xml:space="preserve">  年   </w:t>
            </w:r>
            <w:r>
              <w:rPr>
                <w:rFonts w:ascii="仿宋" w:hAnsi="仿宋" w:eastAsia="仿宋"/>
                <w:color w:val="auto"/>
                <w:sz w:val="24"/>
                <w:highlight w:val="none"/>
              </w:rPr>
              <w:t xml:space="preserve"> </w:t>
            </w:r>
            <w:r>
              <w:rPr>
                <w:rFonts w:hint="eastAsia" w:ascii="仿宋" w:hAnsi="仿宋" w:eastAsia="仿宋"/>
                <w:color w:val="auto"/>
                <w:sz w:val="24"/>
                <w:highlight w:val="none"/>
              </w:rPr>
              <w:t xml:space="preserve">月   </w:t>
            </w:r>
            <w:r>
              <w:rPr>
                <w:rFonts w:ascii="仿宋" w:hAnsi="仿宋" w:eastAsia="仿宋"/>
                <w:color w:val="auto"/>
                <w:sz w:val="24"/>
                <w:highlight w:val="none"/>
              </w:rPr>
              <w:t xml:space="preserve"> </w:t>
            </w:r>
            <w:r>
              <w:rPr>
                <w:rFonts w:hint="eastAsia" w:ascii="仿宋" w:hAnsi="仿宋" w:eastAsia="仿宋"/>
                <w:color w:val="auto"/>
                <w:sz w:val="24"/>
                <w:highlight w:val="none"/>
              </w:rPr>
              <w:t>日</w:t>
            </w:r>
          </w:p>
        </w:tc>
      </w:tr>
      <w:bookmarkEnd w:id="0"/>
      <w:bookmarkEnd w:id="1"/>
    </w:tbl>
    <w:p w14:paraId="2704F5C4">
      <w:pPr>
        <w:pStyle w:val="9"/>
        <w:keepNext w:val="0"/>
        <w:keepLines w:val="0"/>
        <w:pageBreakBefore w:val="0"/>
        <w:kinsoku/>
        <w:wordWrap/>
        <w:overflowPunct/>
        <w:topLinePunct w:val="0"/>
        <w:autoSpaceDE/>
        <w:autoSpaceDN/>
        <w:bidi w:val="0"/>
        <w:adjustRightInd/>
        <w:snapToGrid/>
        <w:spacing w:line="360" w:lineRule="auto"/>
        <w:textAlignment w:val="auto"/>
        <w:rPr>
          <w:rFonts w:hint="eastAsia"/>
          <w:color w:val="auto"/>
          <w:highlight w:val="none"/>
          <w:lang w:val="en-US" w:eastAsia="zh-Hans"/>
        </w:rPr>
      </w:pPr>
    </w:p>
    <w:p w14:paraId="2C477898">
      <w:pPr>
        <w:rPr>
          <w:highlight w:val="none"/>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CC8F59">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83F92A7">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83F92A7">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99293C"/>
    <w:rsid w:val="1D073193"/>
    <w:rsid w:val="23FD55F3"/>
    <w:rsid w:val="3C096491"/>
    <w:rsid w:val="749929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qFormat/>
    <w:uiPriority w:val="0"/>
    <w:pPr>
      <w:spacing w:after="120" w:afterLines="0"/>
    </w:pPr>
  </w:style>
  <w:style w:type="paragraph" w:styleId="4">
    <w:name w:val="footer"/>
    <w:basedOn w:val="1"/>
    <w:qFormat/>
    <w:uiPriority w:val="0"/>
    <w:pPr>
      <w:tabs>
        <w:tab w:val="center" w:pos="4153"/>
        <w:tab w:val="right" w:pos="8306"/>
      </w:tabs>
      <w:snapToGrid w:val="0"/>
      <w:jc w:val="left"/>
    </w:pPr>
    <w:rPr>
      <w:sz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8">
    <w:name w:val="表格文字"/>
    <w:basedOn w:val="1"/>
    <w:next w:val="1"/>
    <w:qFormat/>
    <w:uiPriority w:val="0"/>
    <w:pPr>
      <w:widowControl w:val="0"/>
      <w:spacing w:beforeLines="10" w:afterLines="10" w:line="240" w:lineRule="auto"/>
      <w:ind w:firstLine="0" w:firstLineChars="0"/>
      <w:jc w:val="left"/>
    </w:pPr>
    <w:rPr>
      <w:rFonts w:ascii="Times New Roman" w:hAnsi="Times New Roman"/>
      <w:bCs/>
      <w:spacing w:val="10"/>
      <w:kern w:val="0"/>
      <w:sz w:val="21"/>
      <w:szCs w:val="20"/>
    </w:r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customStyle="1" w:styleId="10">
    <w:name w:val="列出段落1"/>
    <w:qFormat/>
    <w:uiPriority w:val="34"/>
    <w:pPr>
      <w:widowControl w:val="0"/>
      <w:ind w:firstLine="420" w:firstLineChars="200"/>
      <w:jc w:val="both"/>
    </w:pPr>
    <w:rPr>
      <w:rFonts w:ascii="Calibri" w:hAnsi="Calibri" w:eastAsia="宋体" w:cs="黑体"/>
      <w:kern w:val="2"/>
      <w:sz w:val="24"/>
      <w:szCs w:val="22"/>
      <w:lang w:val="en-US" w:eastAsia="zh-CN" w:bidi="ar-SA"/>
    </w:rPr>
  </w:style>
  <w:style w:type="paragraph" w:customStyle="1" w:styleId="11">
    <w:name w:val="正文（缩进 2 字符）"/>
    <w:basedOn w:val="1"/>
    <w:qFormat/>
    <w:uiPriority w:val="0"/>
    <w:pPr>
      <w:spacing w:line="360" w:lineRule="auto"/>
      <w:ind w:firstLine="200" w:firstLineChars="200"/>
    </w:pPr>
    <w:rPr>
      <w:rFonts w:ascii="Calibri" w:hAnsi="Calibri" w:eastAsia="宋体"/>
      <w:szCs w:val="22"/>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4001</Words>
  <Characters>4018</Characters>
  <Lines>0</Lines>
  <Paragraphs>0</Paragraphs>
  <TotalTime>1</TotalTime>
  <ScaleCrop>false</ScaleCrop>
  <LinksUpToDate>false</LinksUpToDate>
  <CharactersWithSpaces>4184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2025-06-27T06:37:00Z</dcterms:created>
  <dc:creator>十</dc:creator>
  <cp:lastModifiedBy>李建飞</cp:lastModifiedBy>
  <dcterms:modified xsi:type="dcterms:W3CDTF">2025-10-17T14:07:15Z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1FD0FAD603A84534AEF6F636D080BAE4_11</vt:lpwstr>
  </property>
  <property fmtid="{D5CDD505-2E9C-101B-9397-08002B2CF9AE}" pid="4" name="KSOTemplateDocerSaveRecord">
    <vt:lpwstr>eyJoZGlkIjoiM2E2ODY4MjA5YTEzMGRjOTQ0MzBiMjc5NGMwMjA2YmQiLCJ1c2VySWQiOiIxMDMxMjc4NzA5In0=</vt:lpwstr>
  </property>
</Properties>
</file>