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D8F5A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食材原料管理方案</w:t>
      </w:r>
    </w:p>
    <w:p w14:paraId="2D811DF8"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p w14:paraId="67CBE913"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包括但不限于以下5项内容：</w:t>
      </w:r>
    </w:p>
    <w:p w14:paraId="30CDED3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①食材采购来源；</w:t>
      </w:r>
    </w:p>
    <w:p w14:paraId="0B3DB871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②食材追溯；</w:t>
      </w:r>
    </w:p>
    <w:p w14:paraId="19FF95FB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③运输方案；</w:t>
      </w:r>
    </w:p>
    <w:p w14:paraId="76D8A2F4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④食材贮存计划；</w:t>
      </w:r>
    </w:p>
    <w:p w14:paraId="19AD4F9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⑤检验检查方案。 </w:t>
      </w:r>
    </w:p>
    <w:p w14:paraId="0AC2BAD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F4C86"/>
    <w:rsid w:val="235276A7"/>
    <w:rsid w:val="3AFE0C57"/>
    <w:rsid w:val="5792501F"/>
    <w:rsid w:val="580A78B6"/>
    <w:rsid w:val="70A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3999391617A6459DB507340861ECB203_13</vt:lpwstr>
  </property>
</Properties>
</file>