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405DA">
      <w:p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包含但不限于（易损配件和一次性耗材）</w:t>
      </w:r>
    </w:p>
    <w:p w14:paraId="217E6938">
      <w:pPr>
        <w:jc w:val="both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788B934A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易损配件和一次性耗材</w:t>
      </w:r>
      <w:r>
        <w:rPr>
          <w:rFonts w:ascii="宋体" w:hAnsi="宋体" w:cs="宋体"/>
          <w:color w:val="auto"/>
          <w:sz w:val="28"/>
          <w:szCs w:val="28"/>
          <w:highlight w:val="none"/>
        </w:rPr>
        <w:t>：提供配套使用耗材、易损备件报价（格式自拟）</w:t>
      </w:r>
    </w:p>
    <w:p w14:paraId="05A766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096711D0"/>
    <w:rsid w:val="145A3769"/>
    <w:rsid w:val="17717B54"/>
    <w:rsid w:val="30CF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趁早</cp:lastModifiedBy>
  <dcterms:modified xsi:type="dcterms:W3CDTF">2025-10-24T08:58:36Z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BAF6E95B8F664B629C76D1D7B2967816_12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