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版本号：SKXMGL-ZC-202503420251022001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动物防疫物资采购项目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SKXMGL-ZC-2025034</w:t>
      </w:r>
      <w:r>
        <w:br/>
      </w:r>
      <w:r>
        <w:br/>
      </w:r>
      <w:r>
        <w:br/>
      </w:r>
    </w:p>
    <w:p>
      <w:pPr>
        <w:pStyle w:val="null3"/>
        <w:jc w:val="center"/>
        <w:outlineLvl w:val="2"/>
      </w:pPr>
      <w:r>
        <w:rPr>
          <w:rFonts w:ascii="仿宋_GB2312" w:hAnsi="仿宋_GB2312" w:cs="仿宋_GB2312" w:eastAsia="仿宋_GB2312"/>
          <w:sz w:val="28"/>
          <w:b/>
        </w:rPr>
        <w:t>西安市农业农村局（本级）</w:t>
      </w:r>
    </w:p>
    <w:p>
      <w:pPr>
        <w:pStyle w:val="null3"/>
        <w:jc w:val="center"/>
        <w:outlineLvl w:val="2"/>
      </w:pPr>
      <w:r>
        <w:rPr>
          <w:rFonts w:ascii="仿宋_GB2312" w:hAnsi="仿宋_GB2312" w:cs="仿宋_GB2312" w:eastAsia="仿宋_GB2312"/>
          <w:sz w:val="28"/>
          <w:b/>
        </w:rPr>
        <w:t>陕西速科项目管理咨询有限公司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陕西速科项目管理咨询有限公司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西安市农业农村局（本级）</w:t>
      </w:r>
      <w:r>
        <w:rPr>
          <w:rFonts w:ascii="仿宋_GB2312" w:hAnsi="仿宋_GB2312" w:cs="仿宋_GB2312" w:eastAsia="仿宋_GB2312"/>
        </w:rPr>
        <w:t>委托，拟对</w:t>
      </w:r>
      <w:r>
        <w:rPr>
          <w:rFonts w:ascii="仿宋_GB2312" w:hAnsi="仿宋_GB2312" w:cs="仿宋_GB2312" w:eastAsia="仿宋_GB2312"/>
        </w:rPr>
        <w:t>动物防疫物资采购项目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SKXMGL-ZC-2025034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动物防疫物资采购项目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根据往年物资采购数量，结合我市猪、牛、羊、犬、禽等存栏情况，需采购一批防疫物资。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采购包1（动物防疫物资采购项目）：属于专门面向中小企业采购。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1、营业执照：提供合格有效的法人或者其他组织的营业执照等证明文件或自然人的身份证明</w:t>
      </w:r>
    </w:p>
    <w:p>
      <w:pPr>
        <w:pStyle w:val="null3"/>
      </w:pPr>
      <w:r>
        <w:rPr>
          <w:rFonts w:ascii="仿宋_GB2312" w:hAnsi="仿宋_GB2312" w:cs="仿宋_GB2312" w:eastAsia="仿宋_GB2312"/>
        </w:rPr>
        <w:t>2、企业资质：供应商须提供《兽药经营许可证》</w:t>
      </w:r>
    </w:p>
    <w:p>
      <w:pPr>
        <w:pStyle w:val="null3"/>
      </w:pPr>
      <w:r>
        <w:rPr>
          <w:rFonts w:ascii="仿宋_GB2312" w:hAnsi="仿宋_GB2312" w:cs="仿宋_GB2312" w:eastAsia="仿宋_GB2312"/>
        </w:rPr>
        <w:t>3、财务状况报表：提供2024年度经审计的财务报告（其中至少包括“四表一注”，即资产负债表、利润表、所有者权益变动表、现金流量表及附注，成立时间至提交投标文件截止时间不足一年的可提供成立后任意时段的资产负债表），或提交投标文件截止时间前一年内基本账户开户银行出具的资信证明</w:t>
      </w:r>
    </w:p>
    <w:p>
      <w:pPr>
        <w:pStyle w:val="null3"/>
      </w:pPr>
      <w:r>
        <w:rPr>
          <w:rFonts w:ascii="仿宋_GB2312" w:hAnsi="仿宋_GB2312" w:cs="仿宋_GB2312" w:eastAsia="仿宋_GB2312"/>
        </w:rPr>
        <w:t>4、税收缴纳证明：提供近半年内已缴纳的至少一个月的纳税证明或完税证明，依法免税的单位应提供相关证明材料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5、社会保障资金缴纳证明：提供近半年内已缴存的至少一个月的社会保险参保缴费情况证明，依法不需要缴纳社会保障资金的单位应提供相关证明材料</w:t>
      </w:r>
    </w:p>
    <w:p>
      <w:pPr>
        <w:pStyle w:val="null3"/>
      </w:pPr>
      <w:r>
        <w:rPr>
          <w:rFonts w:ascii="仿宋_GB2312" w:hAnsi="仿宋_GB2312" w:cs="仿宋_GB2312" w:eastAsia="仿宋_GB2312"/>
        </w:rPr>
        <w:t>6、三年无违法声明：提供参加本次政府采购活动前三年内在经营活动中没有重大违法记录的书面声明</w:t>
      </w:r>
    </w:p>
    <w:p>
      <w:pPr>
        <w:pStyle w:val="null3"/>
      </w:pPr>
      <w:r>
        <w:rPr>
          <w:rFonts w:ascii="仿宋_GB2312" w:hAnsi="仿宋_GB2312" w:cs="仿宋_GB2312" w:eastAsia="仿宋_GB2312"/>
        </w:rPr>
        <w:t>7、履约能力声明：提供具有履行合同所必须的设备和专业技术能力的书面承诺</w:t>
      </w:r>
    </w:p>
    <w:p>
      <w:pPr>
        <w:pStyle w:val="null3"/>
      </w:pPr>
      <w:r>
        <w:rPr>
          <w:rFonts w:ascii="仿宋_GB2312" w:hAnsi="仿宋_GB2312" w:cs="仿宋_GB2312" w:eastAsia="仿宋_GB2312"/>
        </w:rPr>
        <w:t>8、身份证明：法定代表人授权书【附法定代表人、被授权人身份证复印件】及被授权人身份证【法定代表人参加投标只需提供本人身份证】，其他形式供应商参照法人企业执行</w:t>
      </w:r>
    </w:p>
    <w:p>
      <w:pPr>
        <w:pStyle w:val="null3"/>
      </w:pPr>
      <w:r>
        <w:rPr>
          <w:rFonts w:ascii="仿宋_GB2312" w:hAnsi="仿宋_GB2312" w:cs="仿宋_GB2312" w:eastAsia="仿宋_GB2312"/>
        </w:rPr>
        <w:t>9、控股管理关系：单位负责人为同一人或者存在控股、管理关系的不同单位，不得同时参加同一项目的投标</w:t>
      </w:r>
    </w:p>
    <w:p>
      <w:pPr>
        <w:pStyle w:val="null3"/>
      </w:pPr>
      <w:r>
        <w:rPr>
          <w:rFonts w:ascii="仿宋_GB2312" w:hAnsi="仿宋_GB2312" w:cs="仿宋_GB2312" w:eastAsia="仿宋_GB2312"/>
        </w:rPr>
        <w:t>10、落实政府采购政策需满足的资格要求：本项目为专门面向中小企业项目，参与的供应商提供的货物全部由符合政策要求的中小企业制造。</w:t>
      </w:r>
    </w:p>
    <w:p>
      <w:pPr>
        <w:pStyle w:val="null3"/>
      </w:pPr>
      <w:r>
        <w:rPr>
          <w:rFonts w:ascii="仿宋_GB2312" w:hAnsi="仿宋_GB2312" w:cs="仿宋_GB2312" w:eastAsia="仿宋_GB2312"/>
        </w:rPr>
        <w:t>11、非联合体不分包声明：本项目不允许分包，不接受联合体投标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西安市农业农村局（本级）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西安市农业农村局（本级）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86787495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陕西速科项目管理咨询有限公司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西安市高新区高新路16号A区7号厂房2层10203室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雷源涛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15388659250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代理服务费收费标准：（一）成交供应商支付招标代理服务费，在领取《成交通知书》前，由成交供应商一次性支付给受托人。 （二）成交代理服务费金额：成交代理服务费参照国家发展计划委员会计价格[2002]1980号文件及国家发展和改革委员会办公厅颁发的《关于招标代理服务收费有关问题的通知》（发改价格[2011]534号）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西安市农业农村局（本级）</w:t>
      </w:r>
      <w:r>
        <w:rPr>
          <w:rFonts w:ascii="仿宋_GB2312" w:hAnsi="仿宋_GB2312" w:cs="仿宋_GB2312" w:eastAsia="仿宋_GB2312"/>
        </w:rPr>
        <w:t>和</w:t>
      </w:r>
      <w:r>
        <w:rPr>
          <w:rFonts w:ascii="仿宋_GB2312" w:hAnsi="仿宋_GB2312" w:cs="仿宋_GB2312" w:eastAsia="仿宋_GB2312"/>
        </w:rPr>
        <w:t>陕西速科项目管理咨询有限公司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西安市农业农村局（本级）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陕西速科项目管理咨询有限公司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西安市农业农村局（本级）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陕西速科项目管理咨询有限公司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以采购人要求为准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陕西速科项目管理咨询有限公司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陕西速科项目管理咨询有限公司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陕西速科项目管理咨询有限公司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联系人：雷源涛</w:t>
      </w:r>
    </w:p>
    <w:p>
      <w:pPr>
        <w:pStyle w:val="null3"/>
      </w:pPr>
      <w:r>
        <w:rPr>
          <w:rFonts w:ascii="仿宋_GB2312" w:hAnsi="仿宋_GB2312" w:cs="仿宋_GB2312" w:eastAsia="仿宋_GB2312"/>
        </w:rPr>
        <w:t>联系电话：15388659250</w:t>
      </w:r>
    </w:p>
    <w:p>
      <w:pPr>
        <w:pStyle w:val="null3"/>
      </w:pPr>
      <w:r>
        <w:rPr>
          <w:rFonts w:ascii="仿宋_GB2312" w:hAnsi="仿宋_GB2312" w:cs="仿宋_GB2312" w:eastAsia="仿宋_GB2312"/>
        </w:rPr>
        <w:t>地址：西安市高新区高新路16号A区7号厂房2层10203室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根据往年物资采购数量，结合我市猪、牛、羊、犬、禽等存栏情况，需采购一批防疫物资。</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1,140,000.00</w:t>
      </w:r>
    </w:p>
    <w:p>
      <w:pPr>
        <w:pStyle w:val="null3"/>
      </w:pPr>
      <w:r>
        <w:rPr>
          <w:rFonts w:ascii="仿宋_GB2312" w:hAnsi="仿宋_GB2312" w:cs="仿宋_GB2312" w:eastAsia="仿宋_GB2312"/>
        </w:rPr>
        <w:t>采购包最高限价（元）: 1,140,000.00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动物防疫物资采购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标的名称：动物防疫物资采购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63"/>
              <w:gridCol w:w="605"/>
              <w:gridCol w:w="395"/>
              <w:gridCol w:w="263"/>
              <w:gridCol w:w="289"/>
              <w:gridCol w:w="737"/>
            </w:tblGrid>
            <w:tr>
              <w:tc>
                <w:tcPr>
                  <w:tcW w:type="dxa" w:w="263"/>
                  <w:tcMar>
                    <w:top w:type="dxa" w:w="0"/>
                    <w:left w:type="dxa" w:w="105"/>
                    <w:bottom w:type="dxa" w:w="0"/>
                    <w:right w:type="dxa" w:w="105"/>
                  </w:tcMar>
                </w:tcPr>
                <w:p>
                  <w:pPr>
                    <w:pStyle w:val="null3"/>
                    <w:jc w:val="center"/>
                  </w:pPr>
                  <w:r>
                    <w:rPr>
                      <w:rFonts w:ascii="仿宋_GB2312" w:hAnsi="仿宋_GB2312" w:cs="仿宋_GB2312" w:eastAsia="仿宋_GB2312"/>
                      <w:sz w:val="32"/>
                      <w:b/>
                      <w:color w:val="000000"/>
                    </w:rPr>
                    <w:t>序号</w:t>
                  </w:r>
                </w:p>
              </w:tc>
              <w:tc>
                <w:tcPr>
                  <w:tcW w:type="dxa" w:w="6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32"/>
                      <w:b/>
                      <w:color w:val="000000"/>
                    </w:rPr>
                    <w:t>名称</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32"/>
                      <w:b/>
                      <w:color w:val="000000"/>
                    </w:rPr>
                    <w:t>规格</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32"/>
                      <w:b/>
                      <w:color w:val="000000"/>
                    </w:rPr>
                    <w:t>单位</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32"/>
                      <w:b/>
                      <w:color w:val="000000"/>
                    </w:rPr>
                    <w:t>数量</w:t>
                  </w:r>
                </w:p>
              </w:tc>
              <w:tc>
                <w:tcPr>
                  <w:tcW w:type="dxa" w:w="7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32"/>
                      <w:b/>
                      <w:color w:val="000000"/>
                    </w:rPr>
                    <w:t>技术参数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耳标钳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KD508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把</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符合Q_BW-2015-001-2015标准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20ml</w:t>
                  </w:r>
                  <w:r>
                    <w:rPr>
                      <w:rFonts w:ascii="仿宋_GB2312" w:hAnsi="仿宋_GB2312" w:cs="仿宋_GB2312" w:eastAsia="仿宋_GB2312"/>
                      <w:sz w:val="24"/>
                      <w:color w:val="000000"/>
                    </w:rPr>
                    <w:t>金属注射器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20ml</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把</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符合NY533-2002标准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防雨鞋套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大中小码</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双</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按照Q_ZXJT002-2020标准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免洗手消毒液</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500ml</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瓶</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符合GB 27950-2020标准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百毒杀（癸甲溴氨溶液）</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500ml</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符合中国兽药典</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大动物扑杀器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GB4706.1-2005</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一次性脚套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r>
                    <w:rPr>
                      <w:rFonts w:ascii="仿宋_GB2312" w:hAnsi="仿宋_GB2312" w:cs="仿宋_GB2312" w:eastAsia="仿宋_GB2312"/>
                      <w:sz w:val="24"/>
                      <w:color w:val="000000"/>
                    </w:rPr>
                    <w:t>双/包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包</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符合Q/HBXTY009-2020标准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应急灯</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QX-1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符合GB17945-20标准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酒精消毒液</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0.75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瓶</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符合GB26373-2010标准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机动喷雾器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18L</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符合JB/T 6661-2006标准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有机氯制剂</w:t>
                  </w:r>
                  <w:r>
                    <w:br/>
                  </w:r>
                  <w:r>
                    <w:rPr>
                      <w:rFonts w:ascii="仿宋_GB2312" w:hAnsi="仿宋_GB2312" w:cs="仿宋_GB2312" w:eastAsia="仿宋_GB2312"/>
                      <w:sz w:val="24"/>
                      <w:color w:val="000000"/>
                    </w:rPr>
                    <w:t xml:space="preserve"> （二氯异氰尿酸钠）</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r>
                    <w:rPr>
                      <w:rFonts w:ascii="仿宋_GB2312" w:hAnsi="仿宋_GB2312" w:cs="仿宋_GB2312" w:eastAsia="仿宋_GB2312"/>
                      <w:sz w:val="24"/>
                      <w:color w:val="000000"/>
                    </w:rPr>
                    <w:t>含量</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吨</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符合兽药质量标准（2017年版化学用品卷）</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一次性口罩</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17cm</w:t>
                  </w:r>
                  <w:r>
                    <w:rPr>
                      <w:rFonts w:ascii="仿宋_GB2312" w:hAnsi="仿宋_GB2312" w:cs="仿宋_GB2312" w:eastAsia="仿宋_GB2312"/>
                      <w:sz w:val="24"/>
                      <w:color w:val="000000"/>
                    </w:rPr>
                    <w:t>×</w:t>
                  </w:r>
                  <w:r>
                    <w:rPr>
                      <w:rFonts w:ascii="仿宋_GB2312" w:hAnsi="仿宋_GB2312" w:cs="仿宋_GB2312" w:eastAsia="仿宋_GB2312"/>
                      <w:sz w:val="24"/>
                      <w:color w:val="000000"/>
                    </w:rPr>
                    <w:t>9cm 10</w:t>
                  </w:r>
                  <w:r>
                    <w:rPr>
                      <w:rFonts w:ascii="仿宋_GB2312" w:hAnsi="仿宋_GB2312" w:cs="仿宋_GB2312" w:eastAsia="仿宋_GB2312"/>
                      <w:sz w:val="24"/>
                      <w:color w:val="000000"/>
                    </w:rPr>
                    <w:t>个/包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包</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4900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符合YY／T0969-2013标准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高强度防漏尸体袋</w:t>
                  </w:r>
                  <w:r>
                    <w:br/>
                  </w:r>
                  <w:r>
                    <w:rPr>
                      <w:rFonts w:ascii="仿宋_GB2312" w:hAnsi="仿宋_GB2312" w:cs="仿宋_GB2312" w:eastAsia="仿宋_GB2312"/>
                      <w:sz w:val="24"/>
                      <w:color w:val="000000"/>
                    </w:rPr>
                    <w:t xml:space="preserve"> （大动物尸体袋）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加厚</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符合MZT 135</w:t>
                  </w:r>
                  <w:r>
                    <w:rPr>
                      <w:rFonts w:ascii="仿宋_GB2312" w:hAnsi="仿宋_GB2312" w:cs="仿宋_GB2312" w:eastAsia="仿宋_GB2312"/>
                      <w:sz w:val="24"/>
                      <w:color w:val="000000"/>
                    </w:rPr>
                    <w:t>—</w:t>
                  </w:r>
                  <w:r>
                    <w:rPr>
                      <w:rFonts w:ascii="仿宋_GB2312" w:hAnsi="仿宋_GB2312" w:cs="仿宋_GB2312" w:eastAsia="仿宋_GB2312"/>
                      <w:sz w:val="24"/>
                      <w:color w:val="000000"/>
                    </w:rPr>
                    <w:t>2019</w:t>
                  </w:r>
                  <w:r>
                    <w:rPr>
                      <w:rFonts w:ascii="仿宋_GB2312" w:hAnsi="仿宋_GB2312" w:cs="仿宋_GB2312" w:eastAsia="仿宋_GB2312"/>
                      <w:sz w:val="24"/>
                      <w:color w:val="000000"/>
                    </w:rPr>
                    <w:t>要求</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一次性注射器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2ml</w:t>
                  </w:r>
                  <w:r>
                    <w:rPr>
                      <w:rFonts w:ascii="仿宋_GB2312" w:hAnsi="仿宋_GB2312" w:cs="仿宋_GB2312" w:eastAsia="仿宋_GB2312"/>
                      <w:sz w:val="24"/>
                      <w:color w:val="000000"/>
                    </w:rPr>
                    <w:t>、5ml</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支</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300000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符合GB 15810-2019标准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注射用针头</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金属 7号、9号、12号、16号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60000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符合NY529-2002标准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10ml</w:t>
                  </w:r>
                  <w:r>
                    <w:rPr>
                      <w:rFonts w:ascii="仿宋_GB2312" w:hAnsi="仿宋_GB2312" w:cs="仿宋_GB2312" w:eastAsia="仿宋_GB2312"/>
                      <w:sz w:val="24"/>
                      <w:color w:val="000000"/>
                    </w:rPr>
                    <w:t>金属注射器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10ml</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把</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符合NY533-2002标准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兽用盐酸肾上腺素</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5ML</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盒</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2020</w:t>
                  </w:r>
                  <w:r>
                    <w:rPr>
                      <w:rFonts w:ascii="仿宋_GB2312" w:hAnsi="仿宋_GB2312" w:cs="仿宋_GB2312" w:eastAsia="仿宋_GB2312"/>
                      <w:sz w:val="24"/>
                      <w:color w:val="000000"/>
                    </w:rPr>
                    <w:t>年版兽药典</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耳标针</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KD510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把</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符合NY/T 938-2005标准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脱脂药棉</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400g</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包</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符合YY 0330-2015标准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高腰雨靴</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双</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按照SB/T10284-1997标准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三氯异氰尿酸钠</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r>
                    <w:rPr>
                      <w:rFonts w:ascii="仿宋_GB2312" w:hAnsi="仿宋_GB2312" w:cs="仿宋_GB2312" w:eastAsia="仿宋_GB2312"/>
                      <w:sz w:val="24"/>
                      <w:color w:val="000000"/>
                    </w:rPr>
                    <w:t>含量</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吨</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符合兽药质量标准（2017年版化学用品卷）</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戊二醛癸甲溴铵消毒液</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500ml</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符合兽药质量标准（2017年版化学用品卷）</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一次性乳胶手套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r>
                    <w:rPr>
                      <w:rFonts w:ascii="仿宋_GB2312" w:hAnsi="仿宋_GB2312" w:cs="仿宋_GB2312" w:eastAsia="仿宋_GB2312"/>
                      <w:sz w:val="24"/>
                      <w:color w:val="000000"/>
                    </w:rPr>
                    <w:t>双/盒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盒</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符合GB/T 7543-2020标准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聚维酮碘消毒液</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500ml</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符合兽药质量标准（2017年版化学用品卷）</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碘酒消毒液</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0.02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瓶</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符合GB/T 26368-2010标准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26</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一次性防护服</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符合GB19082-2009标准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27</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采血器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5ml 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支</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40000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符合YY0115-1993标准</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28</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生物发酵剂</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1000g</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公斤</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Q_JKZW2-2019</w:t>
                  </w:r>
                  <w:r>
                    <w:rPr>
                      <w:rFonts w:ascii="仿宋_GB2312" w:hAnsi="仿宋_GB2312" w:cs="仿宋_GB2312" w:eastAsia="仿宋_GB2312"/>
                      <w:sz w:val="24"/>
                      <w:color w:val="000000"/>
                    </w:rPr>
                    <w:t>标准</w:t>
                  </w:r>
                </w:p>
              </w:tc>
            </w:tr>
          </w:tbl>
          <w:p>
            <w:pPr>
              <w:pStyle w:val="null3"/>
            </w:pPr>
            <w:r>
              <w:rPr>
                <w:rFonts w:ascii="仿宋_GB2312" w:hAnsi="仿宋_GB2312" w:cs="仿宋_GB2312" w:eastAsia="仿宋_GB2312"/>
                <w:sz w:val="28"/>
                <w:b/>
                <w:color w:val="000000"/>
              </w:rPr>
              <w:t>核心产品：百毒杀（癸甲溴氨溶液）</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自签订合同之日起7日历天，并交付采购人验收合格。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项目完成、验收合格交付使用并完成绩效评价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以采购人要求为准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以采购人要求为准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以采购人要求为准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1、成交供应商在成交结果公告发出之日起1个工作日内向采购代理机构提供一正一副纸质版响应文件及电子 U 盘2份（电 子文件采用PDF格式和WORD格式）用于备案。 2、定标环节采购人有权对谈判响应文件承诺响应的内容进行复核，如有虚 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供应商须提供《兽药经营许可证》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2024年度经审计的财务报告（其中至少包括“四表一注”，即资产负债表、利润表、所有者权益变动表、现金流量表及附注，成立时间至提交投标文件截止时间不足一年的可提供成立后任意时段的资产负债表），或提交投标文件截止时间前一年内基本账户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提供近半年内已缴纳的至少一个月的纳税证明或完税证明，依法免税的单位应提供相关证明材料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提供近半年内已缴存的至少一个月的社会保险参保缴费情况证明，依法不需要缴纳社会保障资金的单位应提供相关证明材料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提供具有履行合同所必须的设备和专业技术能力的书面承诺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法定代表人授权书【附法定代表人、被授权人身份证复印件】及被授权人身份证【法定代表人参加投标只需提供本人身份证】，其他形式供应商参照法人企业执行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单位负责人为同一人或者存在控股、管理关系的不同单位，不得同时参加同一项目的投标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本项目为专门面向中小企业项目，参与的供应商提供的货物全部由符合政策要求的中小企业制造。</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本项目不允许分包，不接受联合体投标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至少以下三处的项目名称、项目编号、标段（未分标段的除外）与本项目完全一致： （1）响应文件封面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响应文件应包含以下部分： （1）响应函 （2）报价表 （3）资格证明文件 （4）供应商概况 （5）供应商参加政府采购活动承诺书</w:t>
            </w:r>
          </w:p>
        </w:tc>
        <w:tc>
          <w:tcPr>
            <w:tcW w:type="dxa" w:w="1661"/>
          </w:tcPr>
          <w:p>
            <w:pPr>
              <w:pStyle w:val="null3"/>
            </w:pPr>
            <w:r>
              <w:rPr>
                <w:rFonts w:ascii="仿宋_GB2312" w:hAnsi="仿宋_GB2312" w:cs="仿宋_GB2312" w:eastAsia="仿宋_GB2312"/>
              </w:rPr>
              <w:t>响应文件封面 供应商参加政府采购活动承诺书.docx 供应商应提交的相关资格证明材料.docx 中小企业声明函 标的清单 报价表 响应函 供应商概况.docx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签章均符合谈判文件要求，且无遗漏。</w:t>
            </w:r>
          </w:p>
        </w:tc>
        <w:tc>
          <w:tcPr>
            <w:tcW w:type="dxa" w:w="1661"/>
          </w:tcPr>
          <w:p>
            <w:pPr>
              <w:pStyle w:val="null3"/>
            </w:pPr>
            <w:r>
              <w:rPr>
                <w:rFonts w:ascii="仿宋_GB2312" w:hAnsi="仿宋_GB2312" w:cs="仿宋_GB2312" w:eastAsia="仿宋_GB2312"/>
              </w:rPr>
              <w:t>供应商参加政府采购活动承诺书.docx 中小企业声明函 商务应答表 报价表 其他.docx 供应商概况.docx 响应文件封面 产品技术参数表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符合谈判文件的要求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 （1）货币单位符合谈判文件要求 （2）报价符合唯一性要求 （3）未超出采购预算或最高限价 （4）符合《报价表》的填报要求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完全响应谈判文件要求的各项技术参数、商务实质性条款。</w:t>
            </w:r>
          </w:p>
        </w:tc>
        <w:tc>
          <w:tcPr>
            <w:tcW w:type="dxa" w:w="1661"/>
          </w:tcPr>
          <w:p>
            <w:pPr>
              <w:pStyle w:val="null3"/>
            </w:pPr>
            <w:r>
              <w:rPr>
                <w:rFonts w:ascii="仿宋_GB2312" w:hAnsi="仿宋_GB2312" w:cs="仿宋_GB2312" w:eastAsia="仿宋_GB2312"/>
              </w:rPr>
              <w:t>产品技术参数表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