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14BA66">
      <w:pPr>
        <w:pStyle w:val="3"/>
        <w:rPr>
          <w:rFonts w:hint="eastAsia" w:ascii="仿宋" w:hAnsi="仿宋" w:eastAsia="仿宋" w:cs="仿宋"/>
          <w:b w:val="0"/>
          <w:color w:val="auto"/>
          <w:sz w:val="28"/>
          <w:szCs w:val="28"/>
          <w:highlight w:val="none"/>
        </w:rPr>
      </w:pPr>
      <w:r>
        <w:rPr>
          <w:rFonts w:hint="eastAsia" w:ascii="仿宋" w:hAnsi="仿宋" w:cs="仿宋"/>
          <w:color w:val="auto"/>
          <w:sz w:val="32"/>
          <w:szCs w:val="28"/>
          <w:highlight w:val="none"/>
          <w:lang w:val="en-US" w:eastAsia="zh-CN"/>
        </w:rPr>
        <w:t>政府采购项目</w:t>
      </w:r>
      <w:r>
        <w:rPr>
          <w:rFonts w:hint="eastAsia" w:ascii="仿宋" w:hAnsi="仿宋" w:eastAsia="仿宋" w:cs="仿宋"/>
          <w:color w:val="auto"/>
          <w:sz w:val="32"/>
          <w:szCs w:val="28"/>
          <w:highlight w:val="none"/>
        </w:rPr>
        <w:t>合同文本</w:t>
      </w:r>
      <w:r>
        <w:rPr>
          <w:rFonts w:hint="eastAsia" w:ascii="仿宋" w:hAnsi="仿宋" w:eastAsia="仿宋" w:cs="仿宋"/>
          <w:b w:val="0"/>
          <w:color w:val="auto"/>
          <w:sz w:val="28"/>
          <w:szCs w:val="28"/>
          <w:highlight w:val="none"/>
        </w:rPr>
        <w:t>（仅供参考）</w:t>
      </w:r>
    </w:p>
    <w:p w14:paraId="4E6B7791">
      <w:pPr>
        <w:pStyle w:val="6"/>
        <w:ind w:firstLine="640" w:firstLineChars="200"/>
        <w:rPr>
          <w:rFonts w:hint="eastAsia" w:ascii="仿宋" w:hAnsi="仿宋" w:eastAsia="仿宋" w:cs="仿宋"/>
          <w:color w:val="auto"/>
          <w:szCs w:val="32"/>
          <w:highlight w:val="none"/>
        </w:rPr>
      </w:pPr>
    </w:p>
    <w:p w14:paraId="05EC78BB">
      <w:pPr>
        <w:pStyle w:val="6"/>
        <w:ind w:firstLine="640" w:firstLineChars="200"/>
        <w:jc w:val="center"/>
        <w:rPr>
          <w:rFonts w:hint="eastAsia" w:ascii="仿宋" w:hAnsi="仿宋" w:eastAsia="仿宋" w:cs="仿宋"/>
          <w:color w:val="auto"/>
          <w:szCs w:val="32"/>
          <w:highlight w:val="none"/>
        </w:rPr>
      </w:pPr>
      <w:r>
        <w:rPr>
          <w:rFonts w:hint="eastAsia" w:ascii="仿宋" w:hAnsi="仿宋" w:eastAsia="仿宋" w:cs="仿宋"/>
          <w:color w:val="auto"/>
          <w:szCs w:val="32"/>
          <w:highlight w:val="none"/>
        </w:rPr>
        <w:t>____________项目</w:t>
      </w:r>
      <w:bookmarkStart w:id="10" w:name="_GoBack"/>
      <w:bookmarkEnd w:id="10"/>
    </w:p>
    <w:p w14:paraId="5B562550">
      <w:pPr>
        <w:pStyle w:val="6"/>
        <w:ind w:firstLine="640" w:firstLineChars="200"/>
        <w:jc w:val="center"/>
        <w:rPr>
          <w:rFonts w:hint="eastAsia" w:ascii="仿宋" w:hAnsi="仿宋" w:eastAsia="仿宋" w:cs="仿宋"/>
          <w:color w:val="auto"/>
          <w:szCs w:val="32"/>
          <w:highlight w:val="none"/>
        </w:rPr>
      </w:pPr>
    </w:p>
    <w:p w14:paraId="5F5E8C82">
      <w:pPr>
        <w:pStyle w:val="6"/>
        <w:ind w:firstLine="640" w:firstLineChars="200"/>
        <w:jc w:val="center"/>
        <w:rPr>
          <w:rFonts w:hint="eastAsia" w:ascii="仿宋" w:hAnsi="仿宋" w:eastAsia="仿宋" w:cs="仿宋"/>
          <w:color w:val="auto"/>
          <w:szCs w:val="32"/>
          <w:highlight w:val="none"/>
        </w:rPr>
      </w:pPr>
      <w:r>
        <w:rPr>
          <w:rFonts w:hint="eastAsia" w:ascii="仿宋" w:hAnsi="仿宋" w:eastAsia="仿宋" w:cs="仿宋"/>
          <w:color w:val="auto"/>
          <w:szCs w:val="32"/>
          <w:highlight w:val="none"/>
        </w:rPr>
        <w:t xml:space="preserve"> </w:t>
      </w:r>
    </w:p>
    <w:p w14:paraId="16EB6DEB">
      <w:pPr>
        <w:pStyle w:val="6"/>
        <w:ind w:firstLine="640" w:firstLineChars="200"/>
        <w:rPr>
          <w:rFonts w:hint="eastAsia" w:ascii="仿宋" w:hAnsi="仿宋" w:eastAsia="仿宋" w:cs="仿宋"/>
          <w:color w:val="auto"/>
          <w:szCs w:val="32"/>
          <w:highlight w:val="none"/>
        </w:rPr>
      </w:pPr>
    </w:p>
    <w:p w14:paraId="104C6EC6">
      <w:pPr>
        <w:pStyle w:val="5"/>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合　　同</w:t>
      </w:r>
    </w:p>
    <w:p w14:paraId="25F7E2D4">
      <w:pPr>
        <w:pStyle w:val="6"/>
        <w:ind w:firstLine="640" w:firstLineChars="200"/>
        <w:rPr>
          <w:rFonts w:hint="eastAsia" w:ascii="仿宋" w:hAnsi="仿宋" w:eastAsia="仿宋" w:cs="仿宋"/>
          <w:color w:val="auto"/>
          <w:szCs w:val="32"/>
          <w:highlight w:val="none"/>
        </w:rPr>
      </w:pPr>
    </w:p>
    <w:p w14:paraId="74D5A30B">
      <w:pPr>
        <w:pStyle w:val="6"/>
        <w:ind w:firstLine="640" w:firstLineChars="200"/>
        <w:rPr>
          <w:rFonts w:hint="eastAsia" w:ascii="仿宋" w:hAnsi="仿宋" w:eastAsia="仿宋" w:cs="仿宋"/>
          <w:color w:val="auto"/>
          <w:szCs w:val="32"/>
          <w:highlight w:val="none"/>
        </w:rPr>
      </w:pPr>
    </w:p>
    <w:p w14:paraId="2C905F9D">
      <w:pPr>
        <w:pStyle w:val="6"/>
        <w:ind w:firstLine="640" w:firstLineChars="200"/>
        <w:rPr>
          <w:rFonts w:hint="eastAsia" w:ascii="仿宋" w:hAnsi="仿宋" w:eastAsia="仿宋" w:cs="仿宋"/>
          <w:color w:val="auto"/>
          <w:szCs w:val="32"/>
          <w:highlight w:val="none"/>
        </w:rPr>
      </w:pPr>
    </w:p>
    <w:p w14:paraId="56B0A1B7">
      <w:pPr>
        <w:pStyle w:val="6"/>
        <w:ind w:firstLine="640" w:firstLineChars="200"/>
        <w:rPr>
          <w:rFonts w:hint="eastAsia" w:ascii="仿宋" w:hAnsi="仿宋" w:eastAsia="仿宋" w:cs="仿宋"/>
          <w:color w:val="auto"/>
          <w:szCs w:val="32"/>
          <w:highlight w:val="none"/>
        </w:rPr>
      </w:pPr>
    </w:p>
    <w:p w14:paraId="33133DA8">
      <w:pPr>
        <w:pStyle w:val="6"/>
        <w:ind w:firstLine="1280" w:firstLineChars="400"/>
        <w:rPr>
          <w:rFonts w:hint="eastAsia" w:ascii="仿宋" w:hAnsi="仿宋" w:eastAsia="仿宋" w:cs="仿宋"/>
          <w:color w:val="auto"/>
          <w:szCs w:val="32"/>
          <w:highlight w:val="none"/>
        </w:rPr>
      </w:pPr>
      <w:r>
        <w:rPr>
          <w:rFonts w:hint="eastAsia" w:ascii="仿宋" w:hAnsi="仿宋" w:eastAsia="仿宋" w:cs="仿宋"/>
          <w:color w:val="auto"/>
          <w:szCs w:val="32"/>
          <w:highlight w:val="none"/>
        </w:rPr>
        <w:t>合同编号：____________________</w:t>
      </w:r>
      <w:r>
        <w:rPr>
          <w:rFonts w:hint="eastAsia" w:ascii="仿宋" w:hAnsi="仿宋" w:eastAsia="仿宋" w:cs="仿宋"/>
          <w:color w:val="auto"/>
          <w:szCs w:val="32"/>
          <w:highlight w:val="none"/>
        </w:rPr>
        <w:tab/>
      </w:r>
      <w:r>
        <w:rPr>
          <w:rFonts w:hint="eastAsia" w:ascii="仿宋" w:hAnsi="仿宋" w:eastAsia="仿宋" w:cs="仿宋"/>
          <w:color w:val="auto"/>
          <w:szCs w:val="32"/>
          <w:highlight w:val="none"/>
        </w:rPr>
        <w:tab/>
      </w:r>
      <w:r>
        <w:rPr>
          <w:rFonts w:hint="eastAsia" w:ascii="仿宋" w:hAnsi="仿宋" w:eastAsia="仿宋" w:cs="仿宋"/>
          <w:color w:val="auto"/>
          <w:szCs w:val="32"/>
          <w:highlight w:val="none"/>
        </w:rPr>
        <w:tab/>
      </w:r>
      <w:r>
        <w:rPr>
          <w:rFonts w:hint="eastAsia" w:ascii="仿宋" w:hAnsi="仿宋" w:eastAsia="仿宋" w:cs="仿宋"/>
          <w:color w:val="auto"/>
          <w:szCs w:val="32"/>
          <w:highlight w:val="none"/>
        </w:rPr>
        <w:tab/>
      </w:r>
    </w:p>
    <w:p w14:paraId="455690C3">
      <w:pPr>
        <w:pStyle w:val="6"/>
        <w:ind w:firstLine="640" w:firstLineChars="200"/>
        <w:jc w:val="center"/>
        <w:rPr>
          <w:rFonts w:hint="eastAsia" w:ascii="仿宋" w:hAnsi="仿宋" w:eastAsia="仿宋" w:cs="仿宋"/>
          <w:color w:val="auto"/>
          <w:szCs w:val="32"/>
          <w:highlight w:val="none"/>
        </w:rPr>
      </w:pPr>
    </w:p>
    <w:p w14:paraId="1754F5EF">
      <w:pPr>
        <w:pStyle w:val="6"/>
        <w:ind w:firstLine="640" w:firstLineChars="200"/>
        <w:jc w:val="center"/>
        <w:rPr>
          <w:rFonts w:hint="eastAsia" w:ascii="仿宋" w:hAnsi="仿宋" w:eastAsia="仿宋" w:cs="仿宋"/>
          <w:color w:val="auto"/>
          <w:szCs w:val="32"/>
          <w:highlight w:val="none"/>
        </w:rPr>
      </w:pPr>
    </w:p>
    <w:p w14:paraId="4061D9EF">
      <w:pPr>
        <w:pStyle w:val="6"/>
        <w:ind w:firstLine="640" w:firstLineChars="200"/>
        <w:jc w:val="center"/>
        <w:rPr>
          <w:rFonts w:hint="eastAsia" w:ascii="仿宋" w:hAnsi="仿宋" w:eastAsia="仿宋" w:cs="仿宋"/>
          <w:color w:val="auto"/>
          <w:szCs w:val="32"/>
          <w:highlight w:val="none"/>
        </w:rPr>
      </w:pPr>
      <w:r>
        <w:rPr>
          <w:rFonts w:hint="eastAsia" w:ascii="仿宋" w:hAnsi="仿宋" w:eastAsia="仿宋" w:cs="仿宋"/>
          <w:color w:val="auto"/>
          <w:szCs w:val="32"/>
          <w:highlight w:val="none"/>
        </w:rPr>
        <w:t>甲　　方：____________________(采购人名称)</w:t>
      </w:r>
      <w:r>
        <w:rPr>
          <w:rFonts w:hint="eastAsia" w:ascii="仿宋" w:hAnsi="仿宋" w:eastAsia="仿宋" w:cs="仿宋"/>
          <w:color w:val="auto"/>
          <w:szCs w:val="32"/>
          <w:highlight w:val="none"/>
        </w:rPr>
        <w:tab/>
      </w:r>
    </w:p>
    <w:p w14:paraId="367AC62D">
      <w:pPr>
        <w:pStyle w:val="6"/>
        <w:ind w:firstLine="640" w:firstLineChars="200"/>
        <w:jc w:val="center"/>
        <w:rPr>
          <w:rFonts w:hint="eastAsia" w:ascii="仿宋" w:hAnsi="仿宋" w:eastAsia="仿宋" w:cs="仿宋"/>
          <w:color w:val="auto"/>
          <w:szCs w:val="32"/>
          <w:highlight w:val="none"/>
        </w:rPr>
      </w:pPr>
    </w:p>
    <w:p w14:paraId="00B9C95D">
      <w:pPr>
        <w:pStyle w:val="6"/>
        <w:ind w:firstLine="640" w:firstLineChars="200"/>
        <w:jc w:val="center"/>
        <w:rPr>
          <w:rFonts w:hint="eastAsia" w:ascii="仿宋" w:hAnsi="仿宋" w:eastAsia="仿宋" w:cs="仿宋"/>
          <w:color w:val="auto"/>
          <w:szCs w:val="32"/>
          <w:highlight w:val="none"/>
        </w:rPr>
      </w:pPr>
    </w:p>
    <w:p w14:paraId="3F6FD698">
      <w:pPr>
        <w:pStyle w:val="6"/>
        <w:ind w:firstLine="640" w:firstLineChars="200"/>
        <w:jc w:val="center"/>
        <w:rPr>
          <w:rFonts w:hint="eastAsia" w:ascii="仿宋" w:hAnsi="仿宋" w:eastAsia="仿宋" w:cs="仿宋"/>
          <w:color w:val="auto"/>
          <w:szCs w:val="32"/>
          <w:highlight w:val="none"/>
        </w:rPr>
      </w:pPr>
      <w:r>
        <w:rPr>
          <w:rFonts w:hint="eastAsia" w:ascii="仿宋" w:hAnsi="仿宋" w:eastAsia="仿宋" w:cs="仿宋"/>
          <w:color w:val="auto"/>
          <w:szCs w:val="32"/>
          <w:highlight w:val="none"/>
        </w:rPr>
        <w:t>乙　　方：____________________(</w:t>
      </w:r>
      <w:r>
        <w:rPr>
          <w:rFonts w:hint="eastAsia" w:ascii="仿宋" w:hAnsi="仿宋" w:cs="仿宋"/>
          <w:color w:val="auto"/>
          <w:szCs w:val="32"/>
          <w:highlight w:val="none"/>
          <w:lang w:val="en-US" w:eastAsia="zh-CN"/>
        </w:rPr>
        <w:t>供应商</w:t>
      </w:r>
      <w:r>
        <w:rPr>
          <w:rFonts w:hint="eastAsia" w:ascii="仿宋" w:hAnsi="仿宋" w:eastAsia="仿宋" w:cs="仿宋"/>
          <w:color w:val="auto"/>
          <w:szCs w:val="32"/>
          <w:highlight w:val="none"/>
        </w:rPr>
        <w:t>名称)</w:t>
      </w:r>
    </w:p>
    <w:p w14:paraId="2B032225">
      <w:pPr>
        <w:pStyle w:val="2"/>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28"/>
          <w:szCs w:val="28"/>
        </w:rPr>
      </w:pPr>
      <w:r>
        <w:rPr>
          <w:rFonts w:hint="eastAsia" w:ascii="仿宋" w:hAnsi="仿宋" w:eastAsia="仿宋" w:cs="仿宋"/>
          <w:color w:val="auto"/>
          <w:szCs w:val="32"/>
          <w:highlight w:val="none"/>
        </w:rPr>
        <w:br w:type="page"/>
      </w:r>
      <w:r>
        <w:rPr>
          <w:rFonts w:hint="eastAsia" w:ascii="仿宋" w:hAnsi="仿宋" w:eastAsia="仿宋" w:cs="仿宋"/>
          <w:sz w:val="28"/>
          <w:szCs w:val="28"/>
        </w:rPr>
        <w:t>根据</w:t>
      </w:r>
      <w:r>
        <w:rPr>
          <w:rFonts w:hint="eastAsia" w:ascii="仿宋" w:hAnsi="仿宋" w:eastAsia="仿宋" w:cs="仿宋"/>
          <w:kern w:val="2"/>
          <w:sz w:val="28"/>
          <w:szCs w:val="28"/>
          <w:u w:val="single"/>
          <w:lang w:val="en-US" w:eastAsia="zh-CN" w:bidi="ar-SA"/>
        </w:rPr>
        <w:t xml:space="preserve">        （项目名称）</w:t>
      </w:r>
      <w:r>
        <w:rPr>
          <w:rFonts w:hint="eastAsia" w:ascii="仿宋" w:hAnsi="仿宋" w:eastAsia="仿宋" w:cs="仿宋"/>
          <w:sz w:val="28"/>
          <w:szCs w:val="28"/>
        </w:rPr>
        <w:t>的</w:t>
      </w:r>
      <w:r>
        <w:rPr>
          <w:rFonts w:hint="eastAsia" w:ascii="仿宋" w:hAnsi="仿宋" w:cs="仿宋"/>
          <w:sz w:val="28"/>
          <w:szCs w:val="28"/>
          <w:lang w:val="en-US" w:eastAsia="zh-CN"/>
        </w:rPr>
        <w:t>竞争性谈判</w:t>
      </w:r>
      <w:r>
        <w:rPr>
          <w:rFonts w:hint="eastAsia" w:ascii="仿宋" w:hAnsi="仿宋" w:eastAsia="仿宋" w:cs="仿宋"/>
          <w:sz w:val="28"/>
          <w:szCs w:val="28"/>
          <w:lang w:eastAsia="zh-CN"/>
        </w:rPr>
        <w:t>采购</w:t>
      </w:r>
      <w:r>
        <w:rPr>
          <w:rFonts w:hint="eastAsia" w:ascii="仿宋" w:hAnsi="仿宋" w:eastAsia="仿宋" w:cs="仿宋"/>
          <w:sz w:val="28"/>
          <w:szCs w:val="28"/>
        </w:rPr>
        <w:t>结果，按照《中华人民共和国政府采购法》、《中华人民共和国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》及相关法律法规的规定，经双方协商，本着平等互利和诚实信用的原则，一致同意签订本合同如下。</w:t>
      </w:r>
    </w:p>
    <w:p w14:paraId="13C52762">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sz w:val="28"/>
          <w:szCs w:val="28"/>
          <w:lang w:val="zh-CN"/>
        </w:rPr>
      </w:pPr>
      <w:r>
        <w:rPr>
          <w:rFonts w:hint="eastAsia" w:ascii="仿宋" w:hAnsi="仿宋" w:eastAsia="仿宋" w:cs="仿宋"/>
          <w:b/>
          <w:bCs/>
          <w:sz w:val="28"/>
          <w:szCs w:val="28"/>
          <w:lang w:val="zh-CN"/>
        </w:rPr>
        <w:t>甲方：</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val="zh-CN"/>
        </w:rPr>
        <w:t xml:space="preserve">   住所：</w:t>
      </w:r>
    </w:p>
    <w:p w14:paraId="117521B8">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sz w:val="28"/>
          <w:szCs w:val="28"/>
          <w:lang w:val="zh-CN"/>
        </w:rPr>
      </w:pPr>
      <w:r>
        <w:rPr>
          <w:rFonts w:hint="eastAsia" w:ascii="仿宋" w:hAnsi="仿宋" w:eastAsia="仿宋" w:cs="仿宋"/>
          <w:b/>
          <w:bCs/>
          <w:sz w:val="28"/>
          <w:szCs w:val="28"/>
          <w:lang w:val="zh-CN"/>
        </w:rPr>
        <w:t>乙方：</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val="zh-CN"/>
        </w:rPr>
        <w:t xml:space="preserve">   住所：</w:t>
      </w:r>
    </w:p>
    <w:p w14:paraId="567FF975">
      <w:pPr>
        <w:numPr>
          <w:ilvl w:val="0"/>
          <w:numId w:val="0"/>
        </w:numPr>
        <w:bidi w:val="0"/>
        <w:ind w:firstLine="562" w:firstLineChars="200"/>
        <w:rPr>
          <w:rFonts w:hint="eastAsia" w:ascii="仿宋" w:hAnsi="仿宋" w:eastAsia="仿宋" w:cs="仿宋"/>
          <w:b/>
          <w:bCs/>
          <w:sz w:val="28"/>
          <w:szCs w:val="28"/>
          <w:lang w:val="zh-CN"/>
        </w:rPr>
      </w:pPr>
      <w:bookmarkStart w:id="0" w:name="_Toc11313452"/>
      <w:r>
        <w:rPr>
          <w:rFonts w:hint="eastAsia" w:ascii="仿宋" w:hAnsi="仿宋" w:eastAsia="仿宋" w:cs="仿宋"/>
          <w:b/>
          <w:bCs/>
          <w:sz w:val="28"/>
          <w:szCs w:val="28"/>
          <w:lang w:val="zh-CN"/>
        </w:rPr>
        <w:t>一、合同内容:</w:t>
      </w:r>
      <w:bookmarkEnd w:id="0"/>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86"/>
        <w:gridCol w:w="1304"/>
        <w:gridCol w:w="739"/>
        <w:gridCol w:w="1339"/>
        <w:gridCol w:w="877"/>
        <w:gridCol w:w="712"/>
        <w:gridCol w:w="696"/>
        <w:gridCol w:w="791"/>
        <w:gridCol w:w="1048"/>
        <w:gridCol w:w="979"/>
      </w:tblGrid>
      <w:tr w14:paraId="470791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blHeader/>
          <w:jc w:val="center"/>
        </w:trPr>
        <w:tc>
          <w:tcPr>
            <w:tcW w:w="586" w:type="dxa"/>
            <w:noWrap w:val="0"/>
            <w:vAlign w:val="center"/>
          </w:tcPr>
          <w:p w14:paraId="5A939592">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序号</w:t>
            </w:r>
          </w:p>
        </w:tc>
        <w:tc>
          <w:tcPr>
            <w:tcW w:w="1304" w:type="dxa"/>
            <w:noWrap w:val="0"/>
            <w:vAlign w:val="center"/>
          </w:tcPr>
          <w:p w14:paraId="567916F8">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项目内容</w:t>
            </w:r>
          </w:p>
        </w:tc>
        <w:tc>
          <w:tcPr>
            <w:tcW w:w="739" w:type="dxa"/>
            <w:noWrap w:val="0"/>
            <w:vAlign w:val="center"/>
          </w:tcPr>
          <w:p w14:paraId="7DC5C4BB">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品牌</w:t>
            </w:r>
          </w:p>
        </w:tc>
        <w:tc>
          <w:tcPr>
            <w:tcW w:w="1339" w:type="dxa"/>
            <w:noWrap w:val="0"/>
            <w:vAlign w:val="center"/>
          </w:tcPr>
          <w:p w14:paraId="6A40D289">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型号规格</w:t>
            </w:r>
          </w:p>
        </w:tc>
        <w:tc>
          <w:tcPr>
            <w:tcW w:w="877" w:type="dxa"/>
            <w:noWrap w:val="0"/>
            <w:vAlign w:val="center"/>
          </w:tcPr>
          <w:p w14:paraId="2AF03B04">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原产地</w:t>
            </w:r>
          </w:p>
        </w:tc>
        <w:tc>
          <w:tcPr>
            <w:tcW w:w="712" w:type="dxa"/>
            <w:noWrap w:val="0"/>
            <w:vAlign w:val="center"/>
          </w:tcPr>
          <w:p w14:paraId="4CB34462">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制造厂名</w:t>
            </w:r>
          </w:p>
        </w:tc>
        <w:tc>
          <w:tcPr>
            <w:tcW w:w="696" w:type="dxa"/>
            <w:noWrap w:val="0"/>
            <w:vAlign w:val="center"/>
          </w:tcPr>
          <w:p w14:paraId="4BFB71A9">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单位</w:t>
            </w:r>
          </w:p>
        </w:tc>
        <w:tc>
          <w:tcPr>
            <w:tcW w:w="791" w:type="dxa"/>
            <w:noWrap w:val="0"/>
            <w:vAlign w:val="center"/>
          </w:tcPr>
          <w:p w14:paraId="01966410">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数量</w:t>
            </w:r>
          </w:p>
        </w:tc>
        <w:tc>
          <w:tcPr>
            <w:tcW w:w="1048" w:type="dxa"/>
            <w:noWrap w:val="0"/>
            <w:vAlign w:val="center"/>
          </w:tcPr>
          <w:p w14:paraId="513FE0BF">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单价（元）</w:t>
            </w:r>
          </w:p>
        </w:tc>
        <w:tc>
          <w:tcPr>
            <w:tcW w:w="979" w:type="dxa"/>
            <w:noWrap w:val="0"/>
            <w:vAlign w:val="center"/>
          </w:tcPr>
          <w:p w14:paraId="19B7A34E">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总 价</w:t>
            </w:r>
          </w:p>
          <w:p w14:paraId="1C9B3DF4">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（元）</w:t>
            </w:r>
          </w:p>
        </w:tc>
      </w:tr>
      <w:tr w14:paraId="7CB01A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6" w:type="dxa"/>
            <w:noWrap w:val="0"/>
            <w:vAlign w:val="center"/>
          </w:tcPr>
          <w:p w14:paraId="27E3A40A">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sz w:val="21"/>
                <w:szCs w:val="21"/>
              </w:rPr>
            </w:pPr>
          </w:p>
        </w:tc>
        <w:tc>
          <w:tcPr>
            <w:tcW w:w="1304" w:type="dxa"/>
            <w:noWrap w:val="0"/>
            <w:vAlign w:val="center"/>
          </w:tcPr>
          <w:p w14:paraId="05029742">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kern w:val="2"/>
                <w:sz w:val="21"/>
                <w:szCs w:val="21"/>
                <w:lang w:val="en-US" w:eastAsia="zh-CN" w:bidi="ar-SA"/>
              </w:rPr>
            </w:pPr>
          </w:p>
        </w:tc>
        <w:tc>
          <w:tcPr>
            <w:tcW w:w="739" w:type="dxa"/>
            <w:noWrap w:val="0"/>
            <w:vAlign w:val="center"/>
          </w:tcPr>
          <w:p w14:paraId="2F5CFA3E">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21"/>
                <w:szCs w:val="21"/>
                <w:u w:val="none"/>
                <w:lang w:val="en-US" w:eastAsia="zh-CN" w:bidi="ar"/>
              </w:rPr>
            </w:pPr>
          </w:p>
        </w:tc>
        <w:tc>
          <w:tcPr>
            <w:tcW w:w="1339" w:type="dxa"/>
            <w:noWrap w:val="0"/>
            <w:vAlign w:val="center"/>
          </w:tcPr>
          <w:p w14:paraId="1D4C4B9D">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kern w:val="2"/>
                <w:sz w:val="21"/>
                <w:szCs w:val="21"/>
                <w:lang w:val="en-US" w:eastAsia="zh-CN" w:bidi="ar-SA"/>
              </w:rPr>
            </w:pPr>
          </w:p>
        </w:tc>
        <w:tc>
          <w:tcPr>
            <w:tcW w:w="877" w:type="dxa"/>
            <w:noWrap w:val="0"/>
            <w:vAlign w:val="center"/>
          </w:tcPr>
          <w:p w14:paraId="6441AD08">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712" w:type="dxa"/>
            <w:noWrap w:val="0"/>
            <w:vAlign w:val="center"/>
          </w:tcPr>
          <w:p w14:paraId="7002D71C">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696" w:type="dxa"/>
            <w:noWrap w:val="0"/>
            <w:vAlign w:val="center"/>
          </w:tcPr>
          <w:p w14:paraId="3ED525BB">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kern w:val="2"/>
                <w:sz w:val="21"/>
                <w:szCs w:val="21"/>
                <w:lang w:val="en-US" w:eastAsia="zh-CN" w:bidi="ar-SA"/>
              </w:rPr>
            </w:pPr>
          </w:p>
        </w:tc>
        <w:tc>
          <w:tcPr>
            <w:tcW w:w="791" w:type="dxa"/>
            <w:noWrap w:val="0"/>
            <w:vAlign w:val="center"/>
          </w:tcPr>
          <w:p w14:paraId="55398A21">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1048" w:type="dxa"/>
            <w:noWrap w:val="0"/>
            <w:vAlign w:val="center"/>
          </w:tcPr>
          <w:p w14:paraId="780B6E06">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979" w:type="dxa"/>
            <w:noWrap w:val="0"/>
            <w:vAlign w:val="center"/>
          </w:tcPr>
          <w:p w14:paraId="17635CEA">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r>
      <w:tr w14:paraId="06FD7A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6" w:type="dxa"/>
            <w:noWrap w:val="0"/>
            <w:vAlign w:val="center"/>
          </w:tcPr>
          <w:p w14:paraId="0FBD3500">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sz w:val="21"/>
                <w:szCs w:val="21"/>
              </w:rPr>
            </w:pPr>
          </w:p>
        </w:tc>
        <w:tc>
          <w:tcPr>
            <w:tcW w:w="1304" w:type="dxa"/>
            <w:noWrap w:val="0"/>
            <w:vAlign w:val="center"/>
          </w:tcPr>
          <w:p w14:paraId="01CF8BA4">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kern w:val="2"/>
                <w:sz w:val="21"/>
                <w:szCs w:val="21"/>
                <w:lang w:val="en-US" w:eastAsia="zh-CN" w:bidi="ar-SA"/>
              </w:rPr>
            </w:pPr>
          </w:p>
        </w:tc>
        <w:tc>
          <w:tcPr>
            <w:tcW w:w="739" w:type="dxa"/>
            <w:noWrap w:val="0"/>
            <w:vAlign w:val="center"/>
          </w:tcPr>
          <w:p w14:paraId="0AABA0B5">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21"/>
                <w:szCs w:val="21"/>
                <w:u w:val="none"/>
                <w:lang w:val="en-US" w:eastAsia="zh-CN" w:bidi="ar"/>
              </w:rPr>
            </w:pPr>
          </w:p>
        </w:tc>
        <w:tc>
          <w:tcPr>
            <w:tcW w:w="1339" w:type="dxa"/>
            <w:noWrap w:val="0"/>
            <w:vAlign w:val="center"/>
          </w:tcPr>
          <w:p w14:paraId="378B9B49">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kern w:val="2"/>
                <w:sz w:val="21"/>
                <w:szCs w:val="21"/>
                <w:lang w:val="en-US" w:eastAsia="zh-CN" w:bidi="ar-SA"/>
              </w:rPr>
            </w:pPr>
          </w:p>
        </w:tc>
        <w:tc>
          <w:tcPr>
            <w:tcW w:w="877" w:type="dxa"/>
            <w:noWrap w:val="0"/>
            <w:vAlign w:val="center"/>
          </w:tcPr>
          <w:p w14:paraId="78F1F230">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712" w:type="dxa"/>
            <w:noWrap w:val="0"/>
            <w:vAlign w:val="center"/>
          </w:tcPr>
          <w:p w14:paraId="56B5E838">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696" w:type="dxa"/>
            <w:noWrap w:val="0"/>
            <w:vAlign w:val="center"/>
          </w:tcPr>
          <w:p w14:paraId="4AFACFA5">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kern w:val="2"/>
                <w:sz w:val="21"/>
                <w:szCs w:val="21"/>
                <w:lang w:val="en-US" w:eastAsia="zh-CN" w:bidi="ar-SA"/>
              </w:rPr>
            </w:pPr>
          </w:p>
        </w:tc>
        <w:tc>
          <w:tcPr>
            <w:tcW w:w="791" w:type="dxa"/>
            <w:noWrap w:val="0"/>
            <w:vAlign w:val="center"/>
          </w:tcPr>
          <w:p w14:paraId="6C909A52">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1048" w:type="dxa"/>
            <w:noWrap w:val="0"/>
            <w:vAlign w:val="center"/>
          </w:tcPr>
          <w:p w14:paraId="214F0399">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979" w:type="dxa"/>
            <w:noWrap w:val="0"/>
            <w:vAlign w:val="center"/>
          </w:tcPr>
          <w:p w14:paraId="116A3384">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r>
      <w:tr w14:paraId="036739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6" w:type="dxa"/>
            <w:noWrap w:val="0"/>
            <w:vAlign w:val="center"/>
          </w:tcPr>
          <w:p w14:paraId="730DBB8E">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sz w:val="21"/>
                <w:szCs w:val="21"/>
              </w:rPr>
            </w:pPr>
          </w:p>
        </w:tc>
        <w:tc>
          <w:tcPr>
            <w:tcW w:w="1304" w:type="dxa"/>
            <w:noWrap w:val="0"/>
            <w:vAlign w:val="center"/>
          </w:tcPr>
          <w:p w14:paraId="532A13D3">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21"/>
                <w:szCs w:val="21"/>
                <w:u w:val="none"/>
                <w:lang w:val="en-US" w:eastAsia="zh-CN" w:bidi="ar"/>
              </w:rPr>
            </w:pPr>
          </w:p>
        </w:tc>
        <w:tc>
          <w:tcPr>
            <w:tcW w:w="739" w:type="dxa"/>
            <w:noWrap w:val="0"/>
            <w:vAlign w:val="center"/>
          </w:tcPr>
          <w:p w14:paraId="437A5D4F">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21"/>
                <w:szCs w:val="21"/>
                <w:u w:val="none"/>
                <w:lang w:val="en-US" w:eastAsia="zh-CN" w:bidi="ar"/>
              </w:rPr>
            </w:pPr>
          </w:p>
        </w:tc>
        <w:tc>
          <w:tcPr>
            <w:tcW w:w="1339" w:type="dxa"/>
            <w:noWrap w:val="0"/>
            <w:vAlign w:val="center"/>
          </w:tcPr>
          <w:p w14:paraId="3BE8C03F">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21"/>
                <w:szCs w:val="21"/>
                <w:u w:val="none"/>
                <w:lang w:val="en-US" w:eastAsia="zh-CN" w:bidi="ar"/>
              </w:rPr>
            </w:pPr>
          </w:p>
        </w:tc>
        <w:tc>
          <w:tcPr>
            <w:tcW w:w="877" w:type="dxa"/>
            <w:noWrap w:val="0"/>
            <w:vAlign w:val="center"/>
          </w:tcPr>
          <w:p w14:paraId="469A5138">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712" w:type="dxa"/>
            <w:noWrap w:val="0"/>
            <w:vAlign w:val="center"/>
          </w:tcPr>
          <w:p w14:paraId="69EF7B77">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696" w:type="dxa"/>
            <w:noWrap w:val="0"/>
            <w:vAlign w:val="center"/>
          </w:tcPr>
          <w:p w14:paraId="29EE4FE0">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791" w:type="dxa"/>
            <w:noWrap w:val="0"/>
            <w:vAlign w:val="center"/>
          </w:tcPr>
          <w:p w14:paraId="014C1D83">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1048" w:type="dxa"/>
            <w:noWrap w:val="0"/>
            <w:vAlign w:val="center"/>
          </w:tcPr>
          <w:p w14:paraId="2C6D1E91">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kern w:val="2"/>
                <w:sz w:val="21"/>
                <w:szCs w:val="21"/>
                <w:lang w:val="en-US" w:eastAsia="zh-CN" w:bidi="ar-SA"/>
              </w:rPr>
            </w:pPr>
          </w:p>
        </w:tc>
        <w:tc>
          <w:tcPr>
            <w:tcW w:w="979" w:type="dxa"/>
            <w:noWrap w:val="0"/>
            <w:vAlign w:val="center"/>
          </w:tcPr>
          <w:p w14:paraId="6F76EDAE">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r>
      <w:tr w14:paraId="14D4B0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6" w:type="dxa"/>
            <w:noWrap w:val="0"/>
            <w:vAlign w:val="center"/>
          </w:tcPr>
          <w:p w14:paraId="17F8236D">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sz w:val="21"/>
                <w:szCs w:val="21"/>
              </w:rPr>
            </w:pPr>
          </w:p>
        </w:tc>
        <w:tc>
          <w:tcPr>
            <w:tcW w:w="1304" w:type="dxa"/>
            <w:noWrap w:val="0"/>
            <w:vAlign w:val="center"/>
          </w:tcPr>
          <w:p w14:paraId="384FA3AE">
            <w:pPr>
              <w:keepNext w:val="0"/>
              <w:keepLines w:val="0"/>
              <w:pageBreakBefore w:val="0"/>
              <w:widowControl/>
              <w:suppressLineNumbers w:val="0"/>
              <w:kinsoku/>
              <w:wordWrap/>
              <w:overflowPunct/>
              <w:topLinePunct w:val="0"/>
              <w:autoSpaceDE/>
              <w:autoSpaceDN/>
              <w:bidi w:val="0"/>
              <w:adjustRightInd/>
              <w:spacing w:line="240" w:lineRule="auto"/>
              <w:jc w:val="left"/>
              <w:textAlignment w:val="center"/>
              <w:rPr>
                <w:rFonts w:hint="eastAsia" w:ascii="仿宋" w:hAnsi="仿宋" w:eastAsia="仿宋" w:cs="仿宋"/>
                <w:i w:val="0"/>
                <w:color w:val="000000"/>
                <w:kern w:val="0"/>
                <w:sz w:val="21"/>
                <w:szCs w:val="21"/>
                <w:u w:val="none"/>
                <w:lang w:val="en-US" w:eastAsia="zh-CN" w:bidi="ar"/>
              </w:rPr>
            </w:pPr>
          </w:p>
        </w:tc>
        <w:tc>
          <w:tcPr>
            <w:tcW w:w="739" w:type="dxa"/>
            <w:noWrap w:val="0"/>
            <w:vAlign w:val="center"/>
          </w:tcPr>
          <w:p w14:paraId="0EFA6AA9">
            <w:pPr>
              <w:keepNext w:val="0"/>
              <w:keepLines w:val="0"/>
              <w:pageBreakBefore w:val="0"/>
              <w:widowControl/>
              <w:suppressLineNumbers w:val="0"/>
              <w:kinsoku/>
              <w:wordWrap/>
              <w:overflowPunct/>
              <w:topLinePunct w:val="0"/>
              <w:autoSpaceDE/>
              <w:autoSpaceDN/>
              <w:bidi w:val="0"/>
              <w:adjustRightInd/>
              <w:spacing w:line="240" w:lineRule="auto"/>
              <w:jc w:val="left"/>
              <w:rPr>
                <w:rFonts w:hint="eastAsia" w:ascii="仿宋" w:hAnsi="仿宋" w:eastAsia="仿宋" w:cs="仿宋"/>
                <w:i w:val="0"/>
                <w:color w:val="000000"/>
                <w:kern w:val="0"/>
                <w:sz w:val="21"/>
                <w:szCs w:val="21"/>
                <w:u w:val="none"/>
                <w:lang w:eastAsia="zh-CN" w:bidi="ar"/>
              </w:rPr>
            </w:pPr>
          </w:p>
        </w:tc>
        <w:tc>
          <w:tcPr>
            <w:tcW w:w="1339" w:type="dxa"/>
            <w:noWrap w:val="0"/>
            <w:vAlign w:val="center"/>
          </w:tcPr>
          <w:p w14:paraId="2E149678">
            <w:pPr>
              <w:keepNext w:val="0"/>
              <w:keepLines w:val="0"/>
              <w:pageBreakBefore w:val="0"/>
              <w:widowControl/>
              <w:suppressLineNumbers w:val="0"/>
              <w:kinsoku/>
              <w:wordWrap/>
              <w:overflowPunct/>
              <w:topLinePunct w:val="0"/>
              <w:autoSpaceDE/>
              <w:autoSpaceDN/>
              <w:bidi w:val="0"/>
              <w:adjustRightInd/>
              <w:spacing w:line="240" w:lineRule="auto"/>
              <w:jc w:val="left"/>
              <w:rPr>
                <w:rFonts w:hint="eastAsia" w:ascii="仿宋" w:hAnsi="仿宋" w:eastAsia="仿宋" w:cs="仿宋"/>
                <w:i w:val="0"/>
                <w:color w:val="000000"/>
                <w:kern w:val="0"/>
                <w:sz w:val="21"/>
                <w:szCs w:val="21"/>
                <w:u w:val="none"/>
                <w:lang w:val="en-US" w:eastAsia="zh-CN" w:bidi="ar"/>
              </w:rPr>
            </w:pPr>
          </w:p>
        </w:tc>
        <w:tc>
          <w:tcPr>
            <w:tcW w:w="877" w:type="dxa"/>
            <w:noWrap w:val="0"/>
            <w:vAlign w:val="center"/>
          </w:tcPr>
          <w:p w14:paraId="05830617">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712" w:type="dxa"/>
            <w:noWrap w:val="0"/>
            <w:vAlign w:val="center"/>
          </w:tcPr>
          <w:p w14:paraId="59D38D9B">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696" w:type="dxa"/>
            <w:noWrap w:val="0"/>
            <w:vAlign w:val="center"/>
          </w:tcPr>
          <w:p w14:paraId="7B8E0EA9">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791" w:type="dxa"/>
            <w:noWrap w:val="0"/>
            <w:vAlign w:val="center"/>
          </w:tcPr>
          <w:p w14:paraId="31A46F83">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1048" w:type="dxa"/>
            <w:noWrap w:val="0"/>
            <w:vAlign w:val="center"/>
          </w:tcPr>
          <w:p w14:paraId="144EC910">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kern w:val="2"/>
                <w:sz w:val="21"/>
                <w:szCs w:val="21"/>
                <w:lang w:val="en-US" w:eastAsia="zh-CN" w:bidi="ar-SA"/>
              </w:rPr>
            </w:pPr>
          </w:p>
        </w:tc>
        <w:tc>
          <w:tcPr>
            <w:tcW w:w="979" w:type="dxa"/>
            <w:noWrap w:val="0"/>
            <w:vAlign w:val="center"/>
          </w:tcPr>
          <w:p w14:paraId="540500C7">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r>
      <w:tr w14:paraId="4E7184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6" w:type="dxa"/>
            <w:noWrap w:val="0"/>
            <w:vAlign w:val="center"/>
          </w:tcPr>
          <w:p w14:paraId="205E49A1">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sz w:val="21"/>
                <w:szCs w:val="21"/>
              </w:rPr>
            </w:pPr>
          </w:p>
        </w:tc>
        <w:tc>
          <w:tcPr>
            <w:tcW w:w="1304" w:type="dxa"/>
            <w:noWrap w:val="0"/>
            <w:vAlign w:val="center"/>
          </w:tcPr>
          <w:p w14:paraId="227481C2">
            <w:pPr>
              <w:keepNext w:val="0"/>
              <w:keepLines w:val="0"/>
              <w:pageBreakBefore w:val="0"/>
              <w:kinsoku/>
              <w:wordWrap/>
              <w:overflowPunct/>
              <w:topLinePunct w:val="0"/>
              <w:autoSpaceDE/>
              <w:autoSpaceDN/>
              <w:bidi w:val="0"/>
              <w:adjustRightInd/>
              <w:spacing w:line="240" w:lineRule="auto"/>
              <w:jc w:val="left"/>
              <w:rPr>
                <w:rFonts w:hint="eastAsia" w:ascii="仿宋" w:hAnsi="仿宋" w:eastAsia="仿宋" w:cs="仿宋"/>
                <w:i w:val="0"/>
                <w:color w:val="000000"/>
                <w:kern w:val="0"/>
                <w:sz w:val="21"/>
                <w:szCs w:val="21"/>
                <w:u w:val="none"/>
                <w:lang w:val="en-US" w:eastAsia="zh-CN" w:bidi="ar"/>
              </w:rPr>
            </w:pPr>
          </w:p>
        </w:tc>
        <w:tc>
          <w:tcPr>
            <w:tcW w:w="739" w:type="dxa"/>
            <w:noWrap w:val="0"/>
            <w:vAlign w:val="center"/>
          </w:tcPr>
          <w:p w14:paraId="03319DFB">
            <w:pPr>
              <w:keepNext w:val="0"/>
              <w:keepLines w:val="0"/>
              <w:pageBreakBefore w:val="0"/>
              <w:widowControl/>
              <w:suppressLineNumbers w:val="0"/>
              <w:kinsoku/>
              <w:wordWrap/>
              <w:overflowPunct/>
              <w:topLinePunct w:val="0"/>
              <w:autoSpaceDE/>
              <w:autoSpaceDN/>
              <w:bidi w:val="0"/>
              <w:adjustRightInd/>
              <w:spacing w:line="240" w:lineRule="auto"/>
              <w:jc w:val="left"/>
              <w:rPr>
                <w:rFonts w:hint="eastAsia" w:ascii="仿宋" w:hAnsi="仿宋" w:eastAsia="仿宋" w:cs="仿宋"/>
                <w:i w:val="0"/>
                <w:color w:val="000000"/>
                <w:kern w:val="0"/>
                <w:sz w:val="21"/>
                <w:szCs w:val="21"/>
                <w:u w:val="none"/>
                <w:lang w:val="en-US" w:eastAsia="zh-CN" w:bidi="ar"/>
              </w:rPr>
            </w:pPr>
          </w:p>
        </w:tc>
        <w:tc>
          <w:tcPr>
            <w:tcW w:w="1339" w:type="dxa"/>
            <w:noWrap w:val="0"/>
            <w:vAlign w:val="center"/>
          </w:tcPr>
          <w:p w14:paraId="6DF9B70B">
            <w:pPr>
              <w:keepNext w:val="0"/>
              <w:keepLines w:val="0"/>
              <w:pageBreakBefore w:val="0"/>
              <w:widowControl/>
              <w:suppressLineNumbers w:val="0"/>
              <w:kinsoku/>
              <w:wordWrap/>
              <w:overflowPunct/>
              <w:topLinePunct w:val="0"/>
              <w:autoSpaceDE/>
              <w:autoSpaceDN/>
              <w:bidi w:val="0"/>
              <w:adjustRightInd/>
              <w:spacing w:line="240" w:lineRule="auto"/>
              <w:jc w:val="left"/>
              <w:rPr>
                <w:rFonts w:hint="eastAsia" w:ascii="仿宋" w:hAnsi="仿宋" w:eastAsia="仿宋" w:cs="仿宋"/>
                <w:i w:val="0"/>
                <w:color w:val="000000"/>
                <w:kern w:val="0"/>
                <w:sz w:val="21"/>
                <w:szCs w:val="21"/>
                <w:u w:val="none"/>
                <w:lang w:val="en-US" w:eastAsia="zh-CN" w:bidi="ar"/>
              </w:rPr>
            </w:pPr>
          </w:p>
        </w:tc>
        <w:tc>
          <w:tcPr>
            <w:tcW w:w="877" w:type="dxa"/>
            <w:noWrap w:val="0"/>
            <w:vAlign w:val="center"/>
          </w:tcPr>
          <w:p w14:paraId="534A78BF">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712" w:type="dxa"/>
            <w:noWrap w:val="0"/>
            <w:vAlign w:val="center"/>
          </w:tcPr>
          <w:p w14:paraId="1DD02BFA">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696" w:type="dxa"/>
            <w:noWrap w:val="0"/>
            <w:vAlign w:val="center"/>
          </w:tcPr>
          <w:p w14:paraId="54537ABF">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791" w:type="dxa"/>
            <w:noWrap w:val="0"/>
            <w:vAlign w:val="center"/>
          </w:tcPr>
          <w:p w14:paraId="2B2159B2">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1048" w:type="dxa"/>
            <w:noWrap w:val="0"/>
            <w:vAlign w:val="center"/>
          </w:tcPr>
          <w:p w14:paraId="7D5EB599">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kern w:val="2"/>
                <w:sz w:val="21"/>
                <w:szCs w:val="21"/>
                <w:lang w:val="en-US" w:eastAsia="zh-CN" w:bidi="ar-SA"/>
              </w:rPr>
            </w:pPr>
          </w:p>
        </w:tc>
        <w:tc>
          <w:tcPr>
            <w:tcW w:w="979" w:type="dxa"/>
            <w:noWrap w:val="0"/>
            <w:vAlign w:val="center"/>
          </w:tcPr>
          <w:p w14:paraId="3A737965">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r>
      <w:tr w14:paraId="713A37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6" w:type="dxa"/>
            <w:noWrap w:val="0"/>
            <w:vAlign w:val="center"/>
          </w:tcPr>
          <w:p w14:paraId="360053E1">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sz w:val="21"/>
                <w:szCs w:val="21"/>
              </w:rPr>
            </w:pPr>
          </w:p>
        </w:tc>
        <w:tc>
          <w:tcPr>
            <w:tcW w:w="1304" w:type="dxa"/>
            <w:noWrap w:val="0"/>
            <w:vAlign w:val="center"/>
          </w:tcPr>
          <w:p w14:paraId="130F4C01">
            <w:pPr>
              <w:keepNext w:val="0"/>
              <w:keepLines w:val="0"/>
              <w:pageBreakBefore w:val="0"/>
              <w:kinsoku/>
              <w:wordWrap/>
              <w:overflowPunct/>
              <w:topLinePunct w:val="0"/>
              <w:autoSpaceDE/>
              <w:autoSpaceDN/>
              <w:bidi w:val="0"/>
              <w:adjustRightInd/>
              <w:spacing w:line="240" w:lineRule="auto"/>
              <w:jc w:val="left"/>
              <w:rPr>
                <w:rFonts w:hint="eastAsia" w:ascii="仿宋" w:hAnsi="仿宋" w:eastAsia="仿宋" w:cs="仿宋"/>
                <w:i w:val="0"/>
                <w:color w:val="000000"/>
                <w:kern w:val="0"/>
                <w:sz w:val="21"/>
                <w:szCs w:val="21"/>
                <w:u w:val="none"/>
                <w:lang w:val="en-US" w:eastAsia="zh-CN" w:bidi="ar"/>
              </w:rPr>
            </w:pPr>
          </w:p>
        </w:tc>
        <w:tc>
          <w:tcPr>
            <w:tcW w:w="739" w:type="dxa"/>
            <w:noWrap w:val="0"/>
            <w:vAlign w:val="center"/>
          </w:tcPr>
          <w:p w14:paraId="49561193">
            <w:pPr>
              <w:keepNext w:val="0"/>
              <w:keepLines w:val="0"/>
              <w:pageBreakBefore w:val="0"/>
              <w:widowControl/>
              <w:suppressLineNumbers w:val="0"/>
              <w:kinsoku/>
              <w:wordWrap/>
              <w:overflowPunct/>
              <w:topLinePunct w:val="0"/>
              <w:autoSpaceDE/>
              <w:autoSpaceDN/>
              <w:bidi w:val="0"/>
              <w:adjustRightInd/>
              <w:spacing w:line="240" w:lineRule="auto"/>
              <w:jc w:val="left"/>
              <w:rPr>
                <w:rFonts w:hint="eastAsia" w:ascii="仿宋" w:hAnsi="仿宋" w:eastAsia="仿宋" w:cs="仿宋"/>
                <w:i w:val="0"/>
                <w:color w:val="000000"/>
                <w:kern w:val="0"/>
                <w:sz w:val="21"/>
                <w:szCs w:val="21"/>
                <w:u w:val="none"/>
                <w:lang w:val="en-US" w:eastAsia="zh-CN" w:bidi="ar"/>
              </w:rPr>
            </w:pPr>
          </w:p>
        </w:tc>
        <w:tc>
          <w:tcPr>
            <w:tcW w:w="1339" w:type="dxa"/>
            <w:noWrap w:val="0"/>
            <w:vAlign w:val="center"/>
          </w:tcPr>
          <w:p w14:paraId="7B46D816">
            <w:pPr>
              <w:keepNext w:val="0"/>
              <w:keepLines w:val="0"/>
              <w:pageBreakBefore w:val="0"/>
              <w:widowControl/>
              <w:suppressLineNumbers w:val="0"/>
              <w:kinsoku/>
              <w:wordWrap/>
              <w:overflowPunct/>
              <w:topLinePunct w:val="0"/>
              <w:autoSpaceDE/>
              <w:autoSpaceDN/>
              <w:bidi w:val="0"/>
              <w:adjustRightInd/>
              <w:spacing w:line="240" w:lineRule="auto"/>
              <w:jc w:val="left"/>
              <w:rPr>
                <w:rFonts w:hint="eastAsia" w:ascii="仿宋" w:hAnsi="仿宋" w:eastAsia="仿宋" w:cs="仿宋"/>
                <w:i w:val="0"/>
                <w:color w:val="000000"/>
                <w:kern w:val="0"/>
                <w:sz w:val="21"/>
                <w:szCs w:val="21"/>
                <w:u w:val="none"/>
                <w:lang w:val="en-US" w:eastAsia="zh-CN" w:bidi="ar"/>
              </w:rPr>
            </w:pPr>
          </w:p>
        </w:tc>
        <w:tc>
          <w:tcPr>
            <w:tcW w:w="877" w:type="dxa"/>
            <w:noWrap w:val="0"/>
            <w:vAlign w:val="center"/>
          </w:tcPr>
          <w:p w14:paraId="31224E2B">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eastAsia="zh-CN" w:bidi="ar"/>
              </w:rPr>
            </w:pPr>
          </w:p>
        </w:tc>
        <w:tc>
          <w:tcPr>
            <w:tcW w:w="712" w:type="dxa"/>
            <w:noWrap w:val="0"/>
            <w:vAlign w:val="center"/>
          </w:tcPr>
          <w:p w14:paraId="3A0A9A34">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eastAsia="zh-CN" w:bidi="ar"/>
              </w:rPr>
            </w:pPr>
          </w:p>
        </w:tc>
        <w:tc>
          <w:tcPr>
            <w:tcW w:w="696" w:type="dxa"/>
            <w:noWrap w:val="0"/>
            <w:vAlign w:val="center"/>
          </w:tcPr>
          <w:p w14:paraId="0E1002FC">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791" w:type="dxa"/>
            <w:noWrap w:val="0"/>
            <w:vAlign w:val="center"/>
          </w:tcPr>
          <w:p w14:paraId="0CFF9619">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c>
          <w:tcPr>
            <w:tcW w:w="1048" w:type="dxa"/>
            <w:noWrap w:val="0"/>
            <w:vAlign w:val="center"/>
          </w:tcPr>
          <w:p w14:paraId="28A872D3">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kern w:val="2"/>
                <w:sz w:val="21"/>
                <w:szCs w:val="21"/>
                <w:lang w:val="en-US" w:eastAsia="zh-CN" w:bidi="ar-SA"/>
              </w:rPr>
            </w:pPr>
          </w:p>
        </w:tc>
        <w:tc>
          <w:tcPr>
            <w:tcW w:w="979" w:type="dxa"/>
            <w:noWrap w:val="0"/>
            <w:vAlign w:val="center"/>
          </w:tcPr>
          <w:p w14:paraId="79047279">
            <w:pPr>
              <w:keepNext w:val="0"/>
              <w:keepLines w:val="0"/>
              <w:pageBreakBefore w:val="0"/>
              <w:widowControl/>
              <w:suppressLineNumbers w:val="0"/>
              <w:kinsoku/>
              <w:wordWrap/>
              <w:overflowPunct/>
              <w:topLinePunct w:val="0"/>
              <w:autoSpaceDE/>
              <w:autoSpaceDN/>
              <w:bidi w:val="0"/>
              <w:adjustRightInd/>
              <w:spacing w:line="240" w:lineRule="auto"/>
              <w:jc w:val="center"/>
              <w:textAlignment w:val="center"/>
              <w:rPr>
                <w:rFonts w:hint="eastAsia" w:ascii="仿宋" w:hAnsi="仿宋" w:eastAsia="仿宋" w:cs="仿宋"/>
                <w:i w:val="0"/>
                <w:color w:val="000000"/>
                <w:kern w:val="0"/>
                <w:sz w:val="21"/>
                <w:szCs w:val="21"/>
                <w:u w:val="none"/>
                <w:lang w:val="en-US" w:eastAsia="zh-CN" w:bidi="ar"/>
              </w:rPr>
            </w:pPr>
          </w:p>
        </w:tc>
      </w:tr>
      <w:tr w14:paraId="038A3C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890" w:type="dxa"/>
            <w:gridSpan w:val="2"/>
            <w:noWrap w:val="0"/>
            <w:vAlign w:val="center"/>
          </w:tcPr>
          <w:p w14:paraId="5274D2B5">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sz w:val="21"/>
                <w:szCs w:val="21"/>
              </w:rPr>
            </w:pPr>
            <w:r>
              <w:rPr>
                <w:rFonts w:hint="eastAsia" w:ascii="仿宋" w:hAnsi="仿宋" w:eastAsia="仿宋" w:cs="仿宋"/>
                <w:sz w:val="21"/>
                <w:szCs w:val="21"/>
              </w:rPr>
              <w:t>合计金额</w:t>
            </w:r>
          </w:p>
          <w:p w14:paraId="08AA8A82">
            <w:pPr>
              <w:keepNext w:val="0"/>
              <w:keepLines w:val="0"/>
              <w:pageBreakBefore w:val="0"/>
              <w:kinsoku/>
              <w:wordWrap/>
              <w:overflowPunct/>
              <w:topLinePunct w:val="0"/>
              <w:autoSpaceDE/>
              <w:autoSpaceDN/>
              <w:bidi w:val="0"/>
              <w:adjustRightInd/>
              <w:spacing w:line="240" w:lineRule="auto"/>
              <w:jc w:val="center"/>
              <w:rPr>
                <w:rFonts w:hint="eastAsia" w:ascii="仿宋" w:hAnsi="仿宋" w:eastAsia="仿宋" w:cs="仿宋"/>
                <w:sz w:val="21"/>
                <w:szCs w:val="21"/>
              </w:rPr>
            </w:pPr>
            <w:r>
              <w:rPr>
                <w:rFonts w:hint="eastAsia" w:ascii="仿宋" w:hAnsi="仿宋" w:eastAsia="仿宋" w:cs="仿宋"/>
                <w:sz w:val="21"/>
                <w:szCs w:val="21"/>
              </w:rPr>
              <w:t>（大写）：</w:t>
            </w:r>
          </w:p>
        </w:tc>
        <w:tc>
          <w:tcPr>
            <w:tcW w:w="5154" w:type="dxa"/>
            <w:gridSpan w:val="6"/>
            <w:noWrap w:val="0"/>
            <w:vAlign w:val="center"/>
          </w:tcPr>
          <w:p w14:paraId="1A59ACE6">
            <w:pPr>
              <w:keepNext w:val="0"/>
              <w:keepLines w:val="0"/>
              <w:pageBreakBefore w:val="0"/>
              <w:widowControl/>
              <w:kinsoku/>
              <w:wordWrap/>
              <w:overflowPunct/>
              <w:topLinePunct w:val="0"/>
              <w:autoSpaceDE/>
              <w:autoSpaceDN/>
              <w:bidi w:val="0"/>
              <w:adjustRightInd/>
              <w:snapToGrid w:val="0"/>
              <w:spacing w:line="240" w:lineRule="auto"/>
              <w:jc w:val="center"/>
              <w:rPr>
                <w:rFonts w:hint="eastAsia" w:ascii="仿宋" w:hAnsi="仿宋" w:eastAsia="仿宋" w:cs="仿宋"/>
                <w:sz w:val="21"/>
                <w:szCs w:val="21"/>
                <w:lang w:val="en-US" w:eastAsia="zh-CN"/>
              </w:rPr>
            </w:pPr>
          </w:p>
        </w:tc>
        <w:tc>
          <w:tcPr>
            <w:tcW w:w="2027" w:type="dxa"/>
            <w:gridSpan w:val="2"/>
            <w:noWrap w:val="0"/>
            <w:vAlign w:val="center"/>
          </w:tcPr>
          <w:p w14:paraId="21109DFC">
            <w:pPr>
              <w:keepNext w:val="0"/>
              <w:keepLines w:val="0"/>
              <w:pageBreakBefore w:val="0"/>
              <w:widowControl/>
              <w:kinsoku/>
              <w:wordWrap/>
              <w:overflowPunct/>
              <w:topLinePunct w:val="0"/>
              <w:autoSpaceDE/>
              <w:autoSpaceDN/>
              <w:bidi w:val="0"/>
              <w:adjustRightInd/>
              <w:spacing w:line="240" w:lineRule="auto"/>
              <w:ind w:firstLine="210" w:firstLineChars="100"/>
              <w:jc w:val="center"/>
              <w:textAlignment w:val="center"/>
              <w:rPr>
                <w:rFonts w:hint="eastAsia" w:ascii="仿宋" w:hAnsi="仿宋" w:eastAsia="仿宋" w:cs="仿宋"/>
                <w:sz w:val="21"/>
                <w:szCs w:val="21"/>
                <w:lang w:val="en-US" w:eastAsia="zh-CN"/>
              </w:rPr>
            </w:pPr>
          </w:p>
        </w:tc>
      </w:tr>
    </w:tbl>
    <w:p w14:paraId="423FE14C">
      <w:pPr>
        <w:numPr>
          <w:ilvl w:val="0"/>
          <w:numId w:val="0"/>
        </w:numPr>
        <w:bidi w:val="0"/>
        <w:ind w:firstLine="562" w:firstLineChars="200"/>
        <w:rPr>
          <w:rFonts w:hint="eastAsia" w:ascii="仿宋" w:hAnsi="仿宋" w:eastAsia="仿宋" w:cs="仿宋"/>
          <w:b/>
          <w:bCs/>
          <w:sz w:val="28"/>
          <w:szCs w:val="28"/>
          <w:lang w:val="zh-CN"/>
        </w:rPr>
      </w:pPr>
      <w:bookmarkStart w:id="1" w:name="_Toc11313453"/>
      <w:r>
        <w:rPr>
          <w:rFonts w:hint="eastAsia" w:ascii="仿宋" w:hAnsi="仿宋" w:eastAsia="仿宋" w:cs="仿宋"/>
          <w:b/>
          <w:bCs/>
          <w:sz w:val="28"/>
          <w:szCs w:val="28"/>
          <w:lang w:val="zh-CN"/>
        </w:rPr>
        <w:t>二、合同价款</w:t>
      </w:r>
      <w:bookmarkEnd w:id="1"/>
    </w:p>
    <w:p w14:paraId="4F8E25B4">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1、合同总价：人民币</w:t>
      </w:r>
      <w:r>
        <w:rPr>
          <w:rFonts w:hint="eastAsia" w:ascii="仿宋" w:hAnsi="仿宋" w:eastAsia="仿宋" w:cs="仿宋"/>
          <w:b/>
          <w:sz w:val="28"/>
          <w:szCs w:val="28"/>
          <w:u w:val="single"/>
          <w:lang w:val="en-US" w:eastAsia="zh-CN"/>
        </w:rPr>
        <w:t xml:space="preserve">       </w:t>
      </w:r>
      <w:r>
        <w:rPr>
          <w:rFonts w:hint="eastAsia" w:ascii="仿宋" w:hAnsi="仿宋" w:eastAsia="仿宋" w:cs="仿宋"/>
          <w:b w:val="0"/>
          <w:bCs/>
          <w:sz w:val="28"/>
          <w:szCs w:val="28"/>
          <w:u w:val="single"/>
        </w:rPr>
        <w:t xml:space="preserve"> </w:t>
      </w:r>
      <w:r>
        <w:rPr>
          <w:rFonts w:hint="eastAsia" w:ascii="仿宋" w:hAnsi="仿宋" w:eastAsia="仿宋" w:cs="仿宋"/>
          <w:b w:val="0"/>
          <w:bCs/>
          <w:sz w:val="28"/>
          <w:szCs w:val="28"/>
          <w:u w:val="none"/>
          <w:lang w:eastAsia="zh-CN"/>
        </w:rPr>
        <w:t>；（大写：</w:t>
      </w:r>
      <w:r>
        <w:rPr>
          <w:rFonts w:hint="eastAsia" w:ascii="仿宋" w:hAnsi="仿宋" w:eastAsia="仿宋" w:cs="仿宋"/>
          <w:b w:val="0"/>
          <w:bCs/>
          <w:sz w:val="28"/>
          <w:szCs w:val="28"/>
          <w:u w:val="none"/>
          <w:lang w:val="en-US" w:eastAsia="zh-CN"/>
        </w:rPr>
        <w:t xml:space="preserve"> </w:t>
      </w:r>
      <w:r>
        <w:rPr>
          <w:rFonts w:hint="eastAsia" w:ascii="仿宋" w:hAnsi="仿宋" w:eastAsia="仿宋" w:cs="仿宋"/>
          <w:b w:val="0"/>
          <w:bCs/>
          <w:sz w:val="28"/>
          <w:szCs w:val="28"/>
          <w:u w:val="none"/>
          <w:lang w:eastAsia="zh-CN"/>
        </w:rPr>
        <w:t>）</w:t>
      </w:r>
      <w:r>
        <w:rPr>
          <w:rFonts w:hint="eastAsia" w:ascii="仿宋" w:hAnsi="仿宋" w:eastAsia="仿宋" w:cs="仿宋"/>
          <w:b w:val="0"/>
          <w:bCs/>
          <w:sz w:val="28"/>
          <w:szCs w:val="28"/>
        </w:rPr>
        <w:t>。</w:t>
      </w:r>
    </w:p>
    <w:p w14:paraId="22BB3B00">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2、合同总价包括：产品的供应费、运杂费（含保险费）的一切费用。</w:t>
      </w:r>
    </w:p>
    <w:p w14:paraId="00485B70">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3、合同总价一次包死，不受市场价变化的影响。</w:t>
      </w:r>
    </w:p>
    <w:p w14:paraId="77955DE9">
      <w:pPr>
        <w:numPr>
          <w:ilvl w:val="0"/>
          <w:numId w:val="0"/>
        </w:numPr>
        <w:bidi w:val="0"/>
        <w:ind w:firstLine="562" w:firstLineChars="200"/>
        <w:rPr>
          <w:rFonts w:hint="eastAsia" w:ascii="仿宋" w:hAnsi="仿宋" w:eastAsia="仿宋" w:cs="仿宋"/>
          <w:b/>
          <w:bCs/>
          <w:sz w:val="28"/>
          <w:szCs w:val="28"/>
          <w:lang w:val="zh-CN"/>
        </w:rPr>
      </w:pPr>
      <w:bookmarkStart w:id="2" w:name="_Toc11313454"/>
      <w:r>
        <w:rPr>
          <w:rFonts w:hint="eastAsia" w:ascii="仿宋" w:hAnsi="仿宋" w:eastAsia="仿宋" w:cs="仿宋"/>
          <w:b/>
          <w:bCs/>
          <w:sz w:val="28"/>
          <w:szCs w:val="28"/>
          <w:lang w:val="zh-CN"/>
        </w:rPr>
        <w:t>三、合同结算</w:t>
      </w:r>
      <w:bookmarkEnd w:id="2"/>
    </w:p>
    <w:p w14:paraId="34EB8CF9">
      <w:pPr>
        <w:adjustRightInd w:val="0"/>
        <w:snapToGrid w:val="0"/>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1、付款比例：项目完成、验收合格交付使用并完成绩效评价，达到付款条件起30日内，支付合同总金额的100.00%</w:t>
      </w:r>
      <w:r>
        <w:rPr>
          <w:rFonts w:hint="eastAsia" w:ascii="仿宋" w:hAnsi="仿宋" w:cs="仿宋"/>
          <w:sz w:val="28"/>
          <w:szCs w:val="28"/>
          <w:lang w:eastAsia="zh-CN"/>
        </w:rPr>
        <w:t>。</w:t>
      </w:r>
    </w:p>
    <w:p w14:paraId="12CF2E06">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2、结算方式：银行转账。</w:t>
      </w:r>
    </w:p>
    <w:p w14:paraId="02F9739E">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3、结算单位：由</w:t>
      </w:r>
      <w:r>
        <w:rPr>
          <w:rFonts w:hint="eastAsia" w:ascii="仿宋" w:hAnsi="仿宋" w:eastAsia="仿宋" w:cs="仿宋"/>
          <w:sz w:val="28"/>
          <w:szCs w:val="28"/>
          <w:u w:val="single"/>
        </w:rPr>
        <w:t xml:space="preserve">  采购人  </w:t>
      </w:r>
      <w:r>
        <w:rPr>
          <w:rFonts w:hint="eastAsia" w:ascii="仿宋" w:hAnsi="仿宋" w:eastAsia="仿宋" w:cs="仿宋"/>
          <w:sz w:val="28"/>
          <w:szCs w:val="28"/>
        </w:rPr>
        <w:t>负责结算，乙方开具合同总价数的全额发票交采购人。</w:t>
      </w:r>
    </w:p>
    <w:p w14:paraId="4A5F8950">
      <w:pPr>
        <w:numPr>
          <w:ilvl w:val="0"/>
          <w:numId w:val="0"/>
        </w:numPr>
        <w:bidi w:val="0"/>
        <w:ind w:firstLine="562" w:firstLineChars="200"/>
        <w:rPr>
          <w:rFonts w:hint="eastAsia" w:ascii="仿宋" w:hAnsi="仿宋" w:eastAsia="仿宋" w:cs="仿宋"/>
          <w:b/>
          <w:bCs/>
          <w:sz w:val="28"/>
          <w:szCs w:val="28"/>
          <w:lang w:val="zh-CN" w:eastAsia="zh-CN"/>
        </w:rPr>
      </w:pPr>
      <w:bookmarkStart w:id="3" w:name="_Toc11313455"/>
      <w:r>
        <w:rPr>
          <w:rFonts w:hint="eastAsia" w:ascii="仿宋" w:hAnsi="仿宋" w:eastAsia="仿宋" w:cs="仿宋"/>
          <w:b/>
          <w:bCs/>
          <w:sz w:val="28"/>
          <w:szCs w:val="28"/>
          <w:lang w:val="zh-CN" w:eastAsia="zh-CN"/>
        </w:rPr>
        <w:t>四、履行期限、地点及方式:</w:t>
      </w:r>
      <w:bookmarkEnd w:id="3"/>
    </w:p>
    <w:p w14:paraId="08BCD055">
      <w:pPr>
        <w:adjustRightInd w:val="0"/>
        <w:snapToGrid w:val="0"/>
        <w:spacing w:line="360" w:lineRule="auto"/>
        <w:ind w:firstLine="560" w:firstLineChars="200"/>
        <w:rPr>
          <w:rFonts w:hint="eastAsia" w:ascii="仿宋" w:hAnsi="仿宋" w:eastAsia="仿宋" w:cs="仿宋"/>
          <w:sz w:val="28"/>
          <w:szCs w:val="28"/>
        </w:rPr>
      </w:pPr>
      <w:bookmarkStart w:id="4" w:name="_Toc11313456"/>
      <w:r>
        <w:rPr>
          <w:rFonts w:hint="eastAsia" w:ascii="仿宋" w:hAnsi="仿宋" w:eastAsia="仿宋" w:cs="仿宋"/>
          <w:sz w:val="28"/>
          <w:szCs w:val="28"/>
        </w:rPr>
        <w:t>1、交货地点：采购人指定地点。</w:t>
      </w:r>
    </w:p>
    <w:p w14:paraId="7862DA43">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2、交货期：自签订合同之日起7日历天，并交付采购人验收合格。</w:t>
      </w:r>
    </w:p>
    <w:p w14:paraId="1FFA0CB7">
      <w:pPr>
        <w:numPr>
          <w:ilvl w:val="0"/>
          <w:numId w:val="0"/>
        </w:numPr>
        <w:bidi w:val="0"/>
        <w:ind w:firstLine="562" w:firstLineChars="200"/>
        <w:rPr>
          <w:rFonts w:hint="eastAsia" w:ascii="仿宋" w:hAnsi="仿宋" w:eastAsia="仿宋" w:cs="仿宋"/>
          <w:b/>
          <w:bCs/>
          <w:sz w:val="28"/>
          <w:szCs w:val="28"/>
          <w:lang w:val="zh-CN" w:eastAsia="zh-CN"/>
        </w:rPr>
      </w:pPr>
      <w:r>
        <w:rPr>
          <w:rFonts w:hint="eastAsia" w:ascii="仿宋" w:hAnsi="仿宋" w:eastAsia="仿宋" w:cs="仿宋"/>
          <w:b/>
          <w:bCs/>
          <w:sz w:val="28"/>
          <w:szCs w:val="28"/>
          <w:lang w:val="zh-CN" w:eastAsia="zh-CN"/>
        </w:rPr>
        <w:t>五、运输</w:t>
      </w:r>
      <w:bookmarkEnd w:id="4"/>
    </w:p>
    <w:p w14:paraId="42CA2782">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1、乙方负责所有货物的运输。确保货物安全、完整到达使用地点，运杂费用包含在总价内，包括货物从供货地点到使用地点的运输费、保险费、搬运费等。</w:t>
      </w:r>
    </w:p>
    <w:p w14:paraId="6103FF81">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2、所有货物在运输、搬运、安装的过程中，造成甲方损失的，由乙方为甲方修复或更新。</w:t>
      </w:r>
    </w:p>
    <w:p w14:paraId="4BD2EAF1">
      <w:pPr>
        <w:numPr>
          <w:ilvl w:val="0"/>
          <w:numId w:val="0"/>
        </w:numPr>
        <w:bidi w:val="0"/>
        <w:ind w:firstLine="562" w:firstLineChars="200"/>
        <w:rPr>
          <w:rFonts w:hint="eastAsia" w:ascii="仿宋" w:hAnsi="仿宋" w:eastAsia="仿宋" w:cs="仿宋"/>
          <w:b/>
          <w:bCs/>
          <w:sz w:val="28"/>
          <w:szCs w:val="28"/>
          <w:lang w:val="zh-CN" w:eastAsia="zh-CN"/>
        </w:rPr>
      </w:pPr>
      <w:bookmarkStart w:id="5" w:name="_Toc515786680"/>
      <w:r>
        <w:rPr>
          <w:rFonts w:hint="eastAsia" w:ascii="仿宋" w:hAnsi="仿宋" w:eastAsia="仿宋" w:cs="仿宋"/>
          <w:b/>
          <w:bCs/>
          <w:sz w:val="28"/>
          <w:szCs w:val="28"/>
          <w:lang w:val="zh-CN" w:eastAsia="zh-CN"/>
        </w:rPr>
        <w:t>六、质量保证</w:t>
      </w:r>
      <w:bookmarkEnd w:id="5"/>
    </w:p>
    <w:p w14:paraId="612FE49F">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1、乙方提供货物必须是原品牌制造厂制造的最新工艺、生产的最新产品。</w:t>
      </w:r>
    </w:p>
    <w:p w14:paraId="2AEAE79B">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2、所供货物必须是经过办理正常手续的全新产品。</w:t>
      </w:r>
    </w:p>
    <w:p w14:paraId="65F680B3">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3、所供货物是经过国家法定检验、注册、准许市场销售的合法产品。</w:t>
      </w:r>
    </w:p>
    <w:p w14:paraId="4DDECAB7">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4、货物性能稳定</w:t>
      </w:r>
    </w:p>
    <w:p w14:paraId="3FAC3A8A">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5、货物的质保期为验收合格后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12</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rPr>
        <w:t>个月，终身维护保养，质保期后，只收取成本费用。</w:t>
      </w:r>
    </w:p>
    <w:p w14:paraId="3706B930">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、包装要求</w:t>
      </w:r>
    </w:p>
    <w:p w14:paraId="5BF9104D">
      <w:pPr>
        <w:adjustRightInd w:val="0"/>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-1、除合同另有规定外，乙方提供的全部货物，均应按标准保护措施进行包装，并确保货物安全无损运抵甲方指定地点。</w:t>
      </w:r>
    </w:p>
    <w:p w14:paraId="46DEE4BF">
      <w:pPr>
        <w:adjustRightInd w:val="0"/>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-2、每一个包装箱内应附一份详细装箱单和质量合格证。</w:t>
      </w:r>
    </w:p>
    <w:p w14:paraId="7CEC28DF">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、乙方应保证甲方在使用该货物或其任何一部分时免受第三方提出侵犯其专利权、商标权或工业设计权的起诉。</w:t>
      </w:r>
    </w:p>
    <w:p w14:paraId="103962EF">
      <w:pPr>
        <w:numPr>
          <w:ilvl w:val="0"/>
          <w:numId w:val="0"/>
        </w:numPr>
        <w:bidi w:val="0"/>
        <w:ind w:firstLine="562" w:firstLineChars="200"/>
        <w:rPr>
          <w:rFonts w:hint="eastAsia" w:ascii="仿宋" w:hAnsi="仿宋" w:eastAsia="仿宋" w:cs="仿宋"/>
          <w:b/>
          <w:bCs/>
          <w:sz w:val="28"/>
          <w:szCs w:val="28"/>
          <w:lang w:val="zh-CN" w:eastAsia="zh-CN"/>
        </w:rPr>
      </w:pPr>
      <w:bookmarkStart w:id="6" w:name="_Toc515786681"/>
      <w:r>
        <w:rPr>
          <w:rFonts w:hint="eastAsia" w:ascii="仿宋" w:hAnsi="仿宋" w:eastAsia="仿宋" w:cs="仿宋"/>
          <w:b/>
          <w:bCs/>
          <w:sz w:val="28"/>
          <w:szCs w:val="28"/>
          <w:lang w:val="zh-CN" w:eastAsia="zh-CN"/>
        </w:rPr>
        <w:t>七、验收</w:t>
      </w:r>
      <w:bookmarkEnd w:id="6"/>
    </w:p>
    <w:p w14:paraId="2AA422C5">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1、采购人有权在产品生产过程中，随时到乙方生产现场进行检查。如发现乙方有分包、转包或与</w:t>
      </w:r>
      <w:r>
        <w:rPr>
          <w:rFonts w:hint="eastAsia" w:ascii="仿宋" w:hAnsi="仿宋" w:cs="仿宋"/>
          <w:sz w:val="28"/>
          <w:szCs w:val="28"/>
          <w:lang w:val="en-US" w:eastAsia="zh-CN"/>
        </w:rPr>
        <w:t>谈判</w:t>
      </w:r>
      <w:r>
        <w:rPr>
          <w:rFonts w:hint="eastAsia" w:ascii="仿宋" w:hAnsi="仿宋" w:eastAsia="仿宋" w:cs="仿宋"/>
          <w:sz w:val="28"/>
          <w:szCs w:val="28"/>
        </w:rPr>
        <w:t>要求不符之行为，甲方有权终止合同，所造成的损失乙方自行承担，按合同总金额的50%进行违约赔偿，并追究其相关法律责任。</w:t>
      </w:r>
    </w:p>
    <w:p w14:paraId="767CEF6D">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2、产品到货后，甲方采取现场抽查方式进行开箱验货，进行抽样检测，检测费用由乙方承担，提供产品须与封样样品一致，如发现产品有任何损坏、缺陷或不符合</w:t>
      </w:r>
      <w:r>
        <w:rPr>
          <w:rFonts w:hint="eastAsia" w:ascii="仿宋" w:hAnsi="仿宋" w:cs="仿宋"/>
          <w:sz w:val="28"/>
          <w:szCs w:val="28"/>
          <w:lang w:val="en-US" w:eastAsia="zh-CN"/>
        </w:rPr>
        <w:t>谈判</w:t>
      </w:r>
      <w:r>
        <w:rPr>
          <w:rFonts w:hint="eastAsia" w:ascii="仿宋" w:hAnsi="仿宋" w:eastAsia="仿宋" w:cs="仿宋"/>
          <w:sz w:val="28"/>
          <w:szCs w:val="28"/>
        </w:rPr>
        <w:t>文件规定的问题，合同双方验收人员应作详细记录，并由合同双方代表签字，且乙方承担相应的责任，甲方人可以随时终止采购合同。</w:t>
      </w:r>
    </w:p>
    <w:p w14:paraId="262E50C8">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3、对不符合</w:t>
      </w:r>
      <w:r>
        <w:rPr>
          <w:rFonts w:hint="eastAsia" w:ascii="仿宋" w:hAnsi="仿宋" w:cs="仿宋"/>
          <w:sz w:val="28"/>
          <w:szCs w:val="28"/>
          <w:lang w:val="en-US" w:eastAsia="zh-CN"/>
        </w:rPr>
        <w:t>谈判</w:t>
      </w:r>
      <w:r>
        <w:rPr>
          <w:rFonts w:hint="eastAsia" w:ascii="仿宋" w:hAnsi="仿宋" w:eastAsia="仿宋" w:cs="仿宋"/>
          <w:sz w:val="28"/>
          <w:szCs w:val="28"/>
        </w:rPr>
        <w:t>文件规定的部分，甲方有权要求且乙方无偿换货，并负担由此产生的所有费用及甲方的其它损失。</w:t>
      </w:r>
    </w:p>
    <w:p w14:paraId="04683680">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如合同双方对产品的质量发生意见分歧，甲方可委托国家认可的1-2家产品质量监督检验机构对产品进行复检，检验机构出具的检验报告即为甲方向乙方提出修理、补齐、更换和索赔的有效证据。乙方除承担上述条款所规定的费用外，同时承担产品检验费用，并承担相应产品质量责任。</w:t>
      </w:r>
    </w:p>
    <w:p w14:paraId="5208FAEA">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5、验收依据：</w:t>
      </w:r>
    </w:p>
    <w:p w14:paraId="2E6EC218">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5-1、</w:t>
      </w:r>
      <w:r>
        <w:rPr>
          <w:rFonts w:hint="eastAsia" w:ascii="仿宋" w:hAnsi="仿宋" w:cs="仿宋"/>
          <w:sz w:val="28"/>
          <w:szCs w:val="28"/>
          <w:lang w:val="en-US" w:eastAsia="zh-CN"/>
        </w:rPr>
        <w:t>谈判文件</w:t>
      </w:r>
      <w:r>
        <w:rPr>
          <w:rFonts w:hint="eastAsia" w:ascii="仿宋" w:hAnsi="仿宋" w:eastAsia="仿宋" w:cs="仿宋"/>
          <w:sz w:val="28"/>
          <w:szCs w:val="28"/>
        </w:rPr>
        <w:t>、</w:t>
      </w:r>
      <w:r>
        <w:rPr>
          <w:rFonts w:hint="eastAsia" w:ascii="仿宋" w:hAnsi="仿宋" w:cs="仿宋"/>
          <w:sz w:val="28"/>
          <w:szCs w:val="28"/>
          <w:lang w:val="en-US" w:eastAsia="zh-CN"/>
        </w:rPr>
        <w:t>响应</w:t>
      </w:r>
      <w:r>
        <w:rPr>
          <w:rFonts w:hint="eastAsia" w:ascii="仿宋" w:hAnsi="仿宋" w:eastAsia="仿宋" w:cs="仿宋"/>
          <w:sz w:val="28"/>
          <w:szCs w:val="28"/>
        </w:rPr>
        <w:t>文件、承诺；</w:t>
      </w:r>
    </w:p>
    <w:p w14:paraId="2CBE300C">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5-2、合同；</w:t>
      </w:r>
    </w:p>
    <w:p w14:paraId="0775F0B0">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5-2、国内相应的标准、规范。</w:t>
      </w:r>
    </w:p>
    <w:p w14:paraId="33650FE0">
      <w:pPr>
        <w:numPr>
          <w:ilvl w:val="0"/>
          <w:numId w:val="0"/>
        </w:numPr>
        <w:bidi w:val="0"/>
        <w:ind w:firstLine="562" w:firstLineChars="200"/>
        <w:rPr>
          <w:rFonts w:hint="eastAsia" w:ascii="仿宋" w:hAnsi="仿宋" w:eastAsia="仿宋" w:cs="仿宋"/>
          <w:b/>
          <w:bCs/>
          <w:sz w:val="28"/>
          <w:szCs w:val="28"/>
          <w:lang w:val="zh-CN" w:eastAsia="zh-CN"/>
        </w:rPr>
      </w:pPr>
      <w:bookmarkStart w:id="7" w:name="_Toc515786682"/>
      <w:r>
        <w:rPr>
          <w:rFonts w:hint="eastAsia" w:ascii="仿宋" w:hAnsi="仿宋" w:eastAsia="仿宋" w:cs="仿宋"/>
          <w:b/>
          <w:bCs/>
          <w:sz w:val="28"/>
          <w:szCs w:val="28"/>
          <w:lang w:val="zh-CN" w:eastAsia="zh-CN"/>
        </w:rPr>
        <w:t>八、违约责任</w:t>
      </w:r>
      <w:bookmarkEnd w:id="7"/>
    </w:p>
    <w:p w14:paraId="70673383">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1、按《</w:t>
      </w:r>
      <w:r>
        <w:rPr>
          <w:rFonts w:hint="eastAsia" w:ascii="仿宋" w:hAnsi="仿宋" w:eastAsia="仿宋" w:cs="仿宋"/>
          <w:sz w:val="28"/>
          <w:szCs w:val="28"/>
          <w:lang w:eastAsia="zh-CN"/>
        </w:rPr>
        <w:t>民法典</w:t>
      </w:r>
      <w:r>
        <w:rPr>
          <w:rFonts w:hint="eastAsia" w:ascii="仿宋" w:hAnsi="仿宋" w:eastAsia="仿宋" w:cs="仿宋"/>
          <w:sz w:val="28"/>
          <w:szCs w:val="28"/>
        </w:rPr>
        <w:t>》中的相关条款执行。</w:t>
      </w:r>
    </w:p>
    <w:p w14:paraId="3DBFA5BA">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2、乙方履约延误</w:t>
      </w:r>
    </w:p>
    <w:p w14:paraId="0C520CA5">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2-1、如乙方事先未征得甲方同意并得到甲方的谅解而单方面延迟交货，将按违约终止合同。</w:t>
      </w:r>
    </w:p>
    <w:p w14:paraId="3803BA3D">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58AB53CF">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3、违约终止合同：未按合同要求提供货物或质量不能满足技术要求，甲方会同监督机构有权终止合同，对乙方违约行为进行追究，同时按政府采购法的有关规定进行相应的处罚。</w:t>
      </w:r>
    </w:p>
    <w:p w14:paraId="4CEAEAC3">
      <w:pPr>
        <w:numPr>
          <w:ilvl w:val="0"/>
          <w:numId w:val="0"/>
        </w:numPr>
        <w:bidi w:val="0"/>
        <w:ind w:firstLine="562" w:firstLineChars="200"/>
        <w:rPr>
          <w:rFonts w:hint="eastAsia" w:ascii="仿宋" w:hAnsi="仿宋" w:eastAsia="仿宋" w:cs="仿宋"/>
          <w:b/>
          <w:bCs/>
          <w:sz w:val="28"/>
          <w:szCs w:val="28"/>
          <w:lang w:val="zh-CN" w:eastAsia="zh-CN"/>
        </w:rPr>
      </w:pPr>
      <w:bookmarkStart w:id="8" w:name="_Toc515786683"/>
      <w:r>
        <w:rPr>
          <w:rFonts w:hint="eastAsia" w:ascii="仿宋" w:hAnsi="仿宋" w:eastAsia="仿宋" w:cs="仿宋"/>
          <w:b/>
          <w:bCs/>
          <w:sz w:val="28"/>
          <w:szCs w:val="28"/>
          <w:lang w:val="zh-CN" w:eastAsia="zh-CN"/>
        </w:rPr>
        <w:t>九、合同组成</w:t>
      </w:r>
      <w:bookmarkEnd w:id="8"/>
    </w:p>
    <w:p w14:paraId="5C88F335">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1、成交通知书</w:t>
      </w:r>
    </w:p>
    <w:p w14:paraId="29902B1D">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2、合同文件</w:t>
      </w:r>
    </w:p>
    <w:p w14:paraId="10FA13E7">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3、国家相关规范及标准</w:t>
      </w:r>
    </w:p>
    <w:p w14:paraId="1DE05B11">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4、供货产品技术规格及参数表</w:t>
      </w:r>
    </w:p>
    <w:p w14:paraId="768E7802">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w:t>
      </w:r>
      <w:r>
        <w:rPr>
          <w:rFonts w:hint="eastAsia" w:ascii="仿宋" w:hAnsi="仿宋" w:cs="仿宋"/>
          <w:sz w:val="28"/>
          <w:szCs w:val="28"/>
          <w:lang w:val="en-US" w:eastAsia="zh-CN"/>
        </w:rPr>
        <w:t>谈判</w:t>
      </w:r>
      <w:r>
        <w:rPr>
          <w:rFonts w:hint="eastAsia" w:ascii="仿宋" w:hAnsi="仿宋" w:eastAsia="仿宋" w:cs="仿宋"/>
          <w:sz w:val="28"/>
          <w:szCs w:val="28"/>
        </w:rPr>
        <w:t>文件</w:t>
      </w:r>
    </w:p>
    <w:p w14:paraId="7E1930D1">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w:t>
      </w:r>
      <w:r>
        <w:rPr>
          <w:rFonts w:hint="eastAsia" w:ascii="仿宋" w:hAnsi="仿宋" w:cs="仿宋"/>
          <w:sz w:val="28"/>
          <w:szCs w:val="28"/>
          <w:lang w:val="en-US" w:eastAsia="zh-CN"/>
        </w:rPr>
        <w:t>响应</w:t>
      </w:r>
      <w:r>
        <w:rPr>
          <w:rFonts w:hint="eastAsia" w:ascii="仿宋" w:hAnsi="仿宋" w:eastAsia="仿宋" w:cs="仿宋"/>
          <w:sz w:val="28"/>
          <w:szCs w:val="28"/>
        </w:rPr>
        <w:t>文件</w:t>
      </w:r>
    </w:p>
    <w:p w14:paraId="732C3A8F">
      <w:pPr>
        <w:numPr>
          <w:ilvl w:val="0"/>
          <w:numId w:val="0"/>
        </w:numPr>
        <w:bidi w:val="0"/>
        <w:ind w:firstLine="562" w:firstLineChars="200"/>
        <w:rPr>
          <w:rFonts w:hint="eastAsia" w:ascii="仿宋" w:hAnsi="仿宋" w:eastAsia="仿宋" w:cs="仿宋"/>
          <w:b/>
          <w:bCs/>
          <w:sz w:val="28"/>
          <w:szCs w:val="28"/>
          <w:lang w:val="zh-CN" w:eastAsia="zh-CN"/>
        </w:rPr>
      </w:pPr>
      <w:bookmarkStart w:id="9" w:name="_Toc515786684"/>
      <w:r>
        <w:rPr>
          <w:rFonts w:hint="eastAsia" w:ascii="仿宋" w:hAnsi="仿宋" w:eastAsia="仿宋" w:cs="仿宋"/>
          <w:b/>
          <w:bCs/>
          <w:sz w:val="28"/>
          <w:szCs w:val="28"/>
          <w:lang w:val="zh-CN" w:eastAsia="zh-CN"/>
        </w:rPr>
        <w:t>十、合同生效及其它</w:t>
      </w:r>
      <w:bookmarkEnd w:id="9"/>
    </w:p>
    <w:p w14:paraId="068FCB47">
      <w:pPr>
        <w:widowControl/>
        <w:autoSpaceDE w:val="0"/>
        <w:autoSpaceDN w:val="0"/>
        <w:snapToGrid w:val="0"/>
        <w:spacing w:line="360" w:lineRule="auto"/>
        <w:ind w:right="-110" w:firstLine="560" w:firstLineChars="200"/>
        <w:textAlignment w:val="bottom"/>
        <w:rPr>
          <w:rFonts w:hint="eastAsia" w:ascii="仿宋" w:hAnsi="仿宋" w:eastAsia="仿宋" w:cs="仿宋"/>
          <w:kern w:val="0"/>
          <w:sz w:val="28"/>
          <w:szCs w:val="28"/>
        </w:rPr>
      </w:pPr>
      <w:r>
        <w:rPr>
          <w:rFonts w:hint="eastAsia" w:ascii="仿宋" w:hAnsi="仿宋" w:eastAsia="仿宋" w:cs="仿宋"/>
          <w:kern w:val="0"/>
          <w:sz w:val="28"/>
          <w:szCs w:val="28"/>
        </w:rPr>
        <w:t>1、合同未尽事宜、由甲、乙双方协商，作为合同补充，与原合同具有同等法律效力。</w:t>
      </w:r>
    </w:p>
    <w:p w14:paraId="2894F118">
      <w:pPr>
        <w:widowControl/>
        <w:tabs>
          <w:tab w:val="left" w:pos="8391"/>
        </w:tabs>
        <w:autoSpaceDE w:val="0"/>
        <w:autoSpaceDN w:val="0"/>
        <w:snapToGrid w:val="0"/>
        <w:spacing w:line="360" w:lineRule="auto"/>
        <w:ind w:right="-69" w:firstLine="560" w:firstLineChars="200"/>
        <w:textAlignment w:val="bottom"/>
        <w:rPr>
          <w:rFonts w:hint="eastAsia" w:ascii="仿宋" w:hAnsi="仿宋" w:eastAsia="仿宋" w:cs="仿宋"/>
          <w:kern w:val="0"/>
          <w:sz w:val="28"/>
          <w:szCs w:val="28"/>
        </w:rPr>
      </w:pPr>
      <w:r>
        <w:rPr>
          <w:rFonts w:hint="eastAsia" w:ascii="仿宋" w:hAnsi="仿宋" w:eastAsia="仿宋" w:cs="仿宋"/>
          <w:kern w:val="0"/>
          <w:sz w:val="28"/>
          <w:szCs w:val="28"/>
        </w:rPr>
        <w:t>2、 本合同正本一式</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kern w:val="0"/>
          <w:sz w:val="28"/>
          <w:szCs w:val="28"/>
        </w:rPr>
        <w:t>份，甲方、乙方双方分别执</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kern w:val="0"/>
          <w:sz w:val="28"/>
          <w:szCs w:val="28"/>
        </w:rPr>
        <w:t>份，</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备案</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kern w:val="0"/>
          <w:sz w:val="28"/>
          <w:szCs w:val="28"/>
        </w:rPr>
        <w:t>份。</w:t>
      </w:r>
    </w:p>
    <w:p w14:paraId="05937CC3">
      <w:pPr>
        <w:widowControl/>
        <w:tabs>
          <w:tab w:val="left" w:pos="8391"/>
        </w:tabs>
        <w:autoSpaceDE w:val="0"/>
        <w:autoSpaceDN w:val="0"/>
        <w:snapToGrid w:val="0"/>
        <w:spacing w:line="360" w:lineRule="auto"/>
        <w:ind w:right="-69" w:firstLine="560" w:firstLineChars="200"/>
        <w:textAlignment w:val="bottom"/>
        <w:rPr>
          <w:rFonts w:hint="eastAsia" w:ascii="仿宋" w:hAnsi="仿宋" w:eastAsia="仿宋" w:cs="仿宋"/>
          <w:kern w:val="0"/>
          <w:sz w:val="28"/>
          <w:szCs w:val="28"/>
        </w:rPr>
      </w:pPr>
      <w:r>
        <w:rPr>
          <w:rFonts w:hint="eastAsia" w:ascii="仿宋" w:hAnsi="仿宋" w:eastAsia="仿宋" w:cs="仿宋"/>
          <w:kern w:val="0"/>
          <w:sz w:val="28"/>
          <w:szCs w:val="28"/>
        </w:rPr>
        <w:t>3、合同经甲乙双方盖章、签字后生效，合同签订地点为</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p>
    <w:p w14:paraId="2736F663">
      <w:pPr>
        <w:widowControl/>
        <w:tabs>
          <w:tab w:val="left" w:pos="8391"/>
        </w:tabs>
        <w:autoSpaceDE w:val="0"/>
        <w:autoSpaceDN w:val="0"/>
        <w:snapToGrid w:val="0"/>
        <w:spacing w:line="360" w:lineRule="auto"/>
        <w:ind w:right="-69" w:firstLine="560" w:firstLineChars="200"/>
        <w:textAlignment w:val="bottom"/>
        <w:rPr>
          <w:rFonts w:hint="eastAsia" w:ascii="仿宋" w:hAnsi="仿宋" w:eastAsia="仿宋" w:cs="仿宋"/>
          <w:kern w:val="0"/>
          <w:sz w:val="28"/>
          <w:szCs w:val="28"/>
        </w:rPr>
      </w:pPr>
      <w:r>
        <w:rPr>
          <w:rFonts w:hint="eastAsia" w:ascii="仿宋" w:hAnsi="仿宋" w:eastAsia="仿宋" w:cs="仿宋"/>
          <w:kern w:val="0"/>
          <w:sz w:val="28"/>
          <w:szCs w:val="28"/>
        </w:rPr>
        <w:t>4、生效时间：   年  月  日</w:t>
      </w:r>
    </w:p>
    <w:p w14:paraId="41E70FC9">
      <w:pPr>
        <w:widowControl/>
        <w:tabs>
          <w:tab w:val="left" w:pos="8391"/>
        </w:tabs>
        <w:autoSpaceDE w:val="0"/>
        <w:autoSpaceDN w:val="0"/>
        <w:snapToGrid w:val="0"/>
        <w:spacing w:line="360" w:lineRule="auto"/>
        <w:ind w:right="-69" w:firstLine="980" w:firstLineChars="350"/>
        <w:textAlignment w:val="bottom"/>
        <w:rPr>
          <w:rFonts w:hint="eastAsia" w:ascii="仿宋" w:hAnsi="仿宋" w:eastAsia="仿宋" w:cs="仿宋"/>
          <w:kern w:val="0"/>
          <w:sz w:val="28"/>
          <w:szCs w:val="28"/>
        </w:rPr>
      </w:pPr>
    </w:p>
    <w:tbl>
      <w:tblPr>
        <w:tblStyle w:val="7"/>
        <w:tblW w:w="0" w:type="auto"/>
        <w:jc w:val="center"/>
        <w:tblLayout w:type="fixed"/>
        <w:tblCellMar>
          <w:top w:w="0" w:type="dxa"/>
          <w:left w:w="108" w:type="dxa"/>
          <w:bottom w:w="0" w:type="dxa"/>
          <w:right w:w="108" w:type="dxa"/>
        </w:tblCellMar>
      </w:tblPr>
      <w:tblGrid>
        <w:gridCol w:w="4643"/>
        <w:gridCol w:w="4643"/>
      </w:tblGrid>
      <w:tr w14:paraId="73C9CADD">
        <w:tblPrEx>
          <w:tblCellMar>
            <w:top w:w="0" w:type="dxa"/>
            <w:left w:w="108" w:type="dxa"/>
            <w:bottom w:w="0" w:type="dxa"/>
            <w:right w:w="108" w:type="dxa"/>
          </w:tblCellMar>
        </w:tblPrEx>
        <w:trPr>
          <w:jc w:val="center"/>
        </w:trPr>
        <w:tc>
          <w:tcPr>
            <w:tcW w:w="4643" w:type="dxa"/>
            <w:noWrap w:val="0"/>
            <w:vAlign w:val="top"/>
          </w:tcPr>
          <w:p w14:paraId="56515458">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甲方名称</w:t>
            </w:r>
            <w:r>
              <w:rPr>
                <w:rFonts w:hint="eastAsia" w:ascii="仿宋" w:hAnsi="仿宋" w:eastAsia="仿宋" w:cs="仿宋"/>
                <w:spacing w:val="-20"/>
                <w:kern w:val="0"/>
                <w:sz w:val="28"/>
                <w:szCs w:val="28"/>
              </w:rPr>
              <w:t>（盖章）</w:t>
            </w:r>
            <w:r>
              <w:rPr>
                <w:rFonts w:hint="eastAsia" w:ascii="仿宋" w:hAnsi="仿宋" w:eastAsia="仿宋" w:cs="仿宋"/>
                <w:kern w:val="0"/>
                <w:sz w:val="28"/>
                <w:szCs w:val="28"/>
              </w:rPr>
              <w:t>:</w:t>
            </w:r>
          </w:p>
          <w:p w14:paraId="21AA2813">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地址：</w:t>
            </w:r>
          </w:p>
          <w:p w14:paraId="75D9D328">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代表人（签字）：</w:t>
            </w:r>
          </w:p>
          <w:p w14:paraId="6A0F09D7">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电话：</w:t>
            </w:r>
          </w:p>
          <w:p w14:paraId="26EB5502">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开户银行：</w:t>
            </w:r>
          </w:p>
          <w:p w14:paraId="4833127A">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帐号：</w:t>
            </w:r>
          </w:p>
        </w:tc>
        <w:tc>
          <w:tcPr>
            <w:tcW w:w="4643" w:type="dxa"/>
            <w:noWrap w:val="0"/>
            <w:vAlign w:val="top"/>
          </w:tcPr>
          <w:p w14:paraId="1D429613">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乙方名称</w:t>
            </w:r>
            <w:r>
              <w:rPr>
                <w:rFonts w:hint="eastAsia" w:ascii="仿宋" w:hAnsi="仿宋" w:eastAsia="仿宋" w:cs="仿宋"/>
                <w:spacing w:val="-20"/>
                <w:kern w:val="0"/>
                <w:sz w:val="28"/>
                <w:szCs w:val="28"/>
              </w:rPr>
              <w:t>（盖章）</w:t>
            </w:r>
            <w:r>
              <w:rPr>
                <w:rFonts w:hint="eastAsia" w:ascii="仿宋" w:hAnsi="仿宋" w:eastAsia="仿宋" w:cs="仿宋"/>
                <w:kern w:val="0"/>
                <w:sz w:val="28"/>
                <w:szCs w:val="28"/>
              </w:rPr>
              <w:t>:</w:t>
            </w:r>
          </w:p>
          <w:p w14:paraId="2D75FB37">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地址：</w:t>
            </w:r>
          </w:p>
          <w:p w14:paraId="62604D8A">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代表人（签字）：</w:t>
            </w:r>
          </w:p>
          <w:p w14:paraId="5025C783">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电话：</w:t>
            </w:r>
          </w:p>
          <w:p w14:paraId="25491A0C">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开户银行：</w:t>
            </w:r>
          </w:p>
          <w:p w14:paraId="50AE0913">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帐号：</w:t>
            </w:r>
          </w:p>
        </w:tc>
      </w:tr>
    </w:tbl>
    <w:p w14:paraId="680C4756">
      <w:pPr>
        <w:rPr>
          <w:rFonts w:hint="eastAsia" w:ascii="仿宋" w:hAnsi="仿宋" w:eastAsia="仿宋" w:cs="仿宋"/>
          <w:color w:val="auto"/>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1MWZmZTJjM2ExYTA5Y2IzZGY1MjhkMmJlYzM5ZTkifQ=="/>
  </w:docVars>
  <w:rsids>
    <w:rsidRoot w:val="7A1B3B94"/>
    <w:rsid w:val="046636CF"/>
    <w:rsid w:val="233D2FF6"/>
    <w:rsid w:val="3C4D4CF9"/>
    <w:rsid w:val="440B549D"/>
    <w:rsid w:val="6A1404BD"/>
    <w:rsid w:val="6B7F1BEA"/>
    <w:rsid w:val="6D570693"/>
    <w:rsid w:val="7A1B3B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2"/>
    <w:basedOn w:val="1"/>
    <w:next w:val="4"/>
    <w:autoRedefine/>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5">
    <w:name w:val="heading 6"/>
    <w:basedOn w:val="1"/>
    <w:next w:val="1"/>
    <w:autoRedefine/>
    <w:qFormat/>
    <w:uiPriority w:val="99"/>
    <w:pPr>
      <w:keepNext/>
      <w:keepLines/>
      <w:spacing w:before="240" w:after="64" w:line="320" w:lineRule="auto"/>
      <w:outlineLvl w:val="5"/>
    </w:pPr>
    <w:rPr>
      <w:rFonts w:ascii="Calibri Light" w:hAnsi="Calibri Light" w:eastAsia="宋体"/>
      <w:b/>
      <w:bCs/>
      <w:sz w:val="24"/>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240" w:lineRule="auto"/>
    </w:pPr>
  </w:style>
  <w:style w:type="paragraph" w:styleId="4">
    <w:name w:val="Normal Indent"/>
    <w:basedOn w:val="1"/>
    <w:autoRedefine/>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Plain Text"/>
    <w:basedOn w:val="1"/>
    <w:autoRedefine/>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1838</Words>
  <Characters>1934</Characters>
  <Lines>0</Lines>
  <Paragraphs>0</Paragraphs>
  <TotalTime>2</TotalTime>
  <ScaleCrop>false</ScaleCrop>
  <LinksUpToDate>false</LinksUpToDate>
  <CharactersWithSpaces>2042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2023-10-10T02:42:00Z</dcterms:created>
  <dc:creator>王琦</dc:creator>
  <cp:lastModifiedBy>L</cp:lastModifiedBy>
  <dcterms:modified xsi:type="dcterms:W3CDTF">2025-10-22T07:02:46Z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A5E7273F2A6F45B1A58F815A7F4B6463_11</vt:lpwstr>
  </property>
  <property fmtid="{D5CDD505-2E9C-101B-9397-08002B2CF9AE}" pid="4" name="KSOTemplateDocerSaveRecord">
    <vt:lpwstr>eyJoZGlkIjoiNjhkM2M2MWRiM2M1NThkZDJjYjhjMjk3OWYxZDU4ZjciLCJ1c2VySWQiOiIyNTY2NDg0MDgifQ==</vt:lpwstr>
  </property>
</Properties>
</file>