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版本号：ZHZB-2025-11320251023001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西安东岳庙防雷工程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ZHZB-2025-113</w:t>
      </w:r>
      <w:r>
        <w:br/>
      </w:r>
      <w:r>
        <w:br/>
      </w:r>
      <w:r>
        <w:br/>
      </w:r>
    </w:p>
    <w:p>
      <w:pPr>
        <w:pStyle w:val="null3"/>
        <w:jc w:val="center"/>
        <w:outlineLvl w:val="2"/>
      </w:pPr>
      <w:r>
        <w:rPr>
          <w:rFonts w:ascii="仿宋_GB2312" w:hAnsi="仿宋_GB2312" w:cs="仿宋_GB2312" w:eastAsia="仿宋_GB2312"/>
          <w:sz w:val="28"/>
          <w:b/>
        </w:rPr>
        <w:t>西安市文物交流中心</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西安市文物交流中心</w:t>
      </w:r>
      <w:r>
        <w:rPr>
          <w:rFonts w:ascii="仿宋_GB2312" w:hAnsi="仿宋_GB2312" w:cs="仿宋_GB2312" w:eastAsia="仿宋_GB2312"/>
        </w:rPr>
        <w:t>委托，拟对</w:t>
      </w:r>
      <w:r>
        <w:rPr>
          <w:rFonts w:ascii="仿宋_GB2312" w:hAnsi="仿宋_GB2312" w:cs="仿宋_GB2312" w:eastAsia="仿宋_GB2312"/>
        </w:rPr>
        <w:t>西安东岳庙防雷工程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ZHZB-2025-113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西安东岳庙防雷工程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东岳庙防雷工程，以保护文物建筑为目的为西安东岳庙建设增加一套防雷、避雷设施，主要针对雷电危害中的直击雷及雷电电流入侵进行防护。工程完工后应使建筑物具备完善、合格的直击雷防护系统，能承受直接雷击。本项目所属行业：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采购包1（西安东岳庙防雷工程）：属于专门面向小微企业采购。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及拟派项目负责人资质和专业要求：（1）供应商须具备特种工程专业承包（特种防雷）资质，并具有有效的安全生产许可证；（2）供应商拟派项目经理须具备合法有效的机电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西安市文物交流中心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西安市碑林区环城南路中段110号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丰雷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029-87443378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唐昊、王臻、王阿磊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15686470916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及国家发展和改革委员会办公厅颁发的《关于降低部分建设项目收费标准规范收费行为等有关问题的通知》（发改价格[2011]534号）的规定标准，不足捌仟元按照捌仟元（¥8000.00元）收取。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西安市文物交流中心</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西安市文物交流中心</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西安市文物交流中心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联系人：唐昊、王臻、王阿磊</w:t>
      </w:r>
    </w:p>
    <w:p>
      <w:pPr>
        <w:pStyle w:val="null3"/>
      </w:pPr>
      <w:r>
        <w:rPr>
          <w:rFonts w:ascii="仿宋_GB2312" w:hAnsi="仿宋_GB2312" w:cs="仿宋_GB2312" w:eastAsia="仿宋_GB2312"/>
        </w:rPr>
        <w:t>联系电话：15686470916</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495,000.00</w:t>
      </w:r>
    </w:p>
    <w:p>
      <w:pPr>
        <w:pStyle w:val="null3"/>
      </w:pPr>
      <w:r>
        <w:rPr>
          <w:rFonts w:ascii="仿宋_GB2312" w:hAnsi="仿宋_GB2312" w:cs="仿宋_GB2312" w:eastAsia="仿宋_GB2312"/>
        </w:rPr>
        <w:t>采购包最高限价（元）: 475,243.64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西安东岳庙防雷工程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495,000.00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标的名称：西安东岳庙防雷工程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FF"/>
              </w:rPr>
              <w:t>一</w:t>
            </w:r>
            <w:r>
              <w:rPr>
                <w:rFonts w:ascii="仿宋_GB2312" w:hAnsi="仿宋_GB2312" w:cs="仿宋_GB2312" w:eastAsia="仿宋_GB2312"/>
                <w:color w:val="0000FF"/>
              </w:rPr>
              <w:t>、项目概况</w:t>
            </w:r>
          </w:p>
          <w:p>
            <w:pPr>
              <w:pStyle w:val="null3"/>
              <w:ind w:firstLine="400"/>
            </w:pPr>
            <w:r>
              <w:rPr>
                <w:rFonts w:ascii="仿宋_GB2312" w:hAnsi="仿宋_GB2312" w:cs="仿宋_GB2312" w:eastAsia="仿宋_GB2312"/>
                <w:color w:val="0000FF"/>
              </w:rPr>
              <w:t>本项目为西安东岳庙防雷工程，以保护文物建筑为目的为西安东岳庙建设增加一套防雷、避雷设施，主要针对雷电危害中的直击雷及雷电电流入侵进行防护。工程完工后应使建筑物具备完善、合格的直击雷防护系统，能承受直接雷击。本项目所属行业：建筑业（营业收入</w:t>
            </w:r>
            <w:r>
              <w:rPr>
                <w:rFonts w:ascii="仿宋_GB2312" w:hAnsi="仿宋_GB2312" w:cs="仿宋_GB2312" w:eastAsia="仿宋_GB2312"/>
                <w:color w:val="0000FF"/>
              </w:rPr>
              <w:t>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color w:val="0000FF"/>
              </w:rPr>
              <w:t>二、工程内容和施工地点、计划工期、缺陷责任期、质量保修期</w:t>
            </w:r>
          </w:p>
          <w:p>
            <w:pPr>
              <w:pStyle w:val="null3"/>
            </w:pPr>
            <w:r>
              <w:rPr>
                <w:rFonts w:ascii="仿宋_GB2312" w:hAnsi="仿宋_GB2312" w:cs="仿宋_GB2312" w:eastAsia="仿宋_GB2312"/>
                <w:color w:val="0000FF"/>
              </w:rPr>
              <w:t>1.工程内容：本工程主要施工内容包括：东岳庙建筑本体直击雷、雷电电流入侵防护、土方开挖等相关内容。（具体详见工程量清单）</w:t>
            </w:r>
          </w:p>
          <w:p>
            <w:pPr>
              <w:pStyle w:val="null3"/>
            </w:pPr>
            <w:r>
              <w:rPr>
                <w:rFonts w:ascii="仿宋_GB2312" w:hAnsi="仿宋_GB2312" w:cs="仿宋_GB2312" w:eastAsia="仿宋_GB2312"/>
                <w:color w:val="0000FF"/>
              </w:rPr>
              <w:t>2.工程地点：西安市东门内昌仁里</w:t>
            </w:r>
          </w:p>
          <w:p>
            <w:pPr>
              <w:pStyle w:val="null3"/>
            </w:pPr>
            <w:r>
              <w:rPr>
                <w:rFonts w:ascii="仿宋_GB2312" w:hAnsi="仿宋_GB2312" w:cs="仿宋_GB2312" w:eastAsia="仿宋_GB2312"/>
                <w:color w:val="0000FF"/>
              </w:rPr>
              <w:t>3.计划工期：自合同签订之日起 40 个日历日</w:t>
            </w:r>
          </w:p>
          <w:p>
            <w:pPr>
              <w:pStyle w:val="null3"/>
            </w:pPr>
            <w:r>
              <w:rPr>
                <w:rFonts w:ascii="仿宋_GB2312" w:hAnsi="仿宋_GB2312" w:cs="仿宋_GB2312" w:eastAsia="仿宋_GB2312"/>
                <w:color w:val="0000FF"/>
              </w:rPr>
              <w:t>4.缺陷责任期：12个月</w:t>
            </w:r>
          </w:p>
          <w:p>
            <w:pPr>
              <w:pStyle w:val="null3"/>
            </w:pPr>
            <w:r>
              <w:rPr>
                <w:rFonts w:ascii="仿宋_GB2312" w:hAnsi="仿宋_GB2312" w:cs="仿宋_GB2312" w:eastAsia="仿宋_GB2312"/>
                <w:color w:val="0000FF"/>
              </w:rPr>
              <w:t>5.质量保修期：3年</w:t>
            </w:r>
          </w:p>
          <w:p>
            <w:pPr>
              <w:pStyle w:val="null3"/>
            </w:pPr>
            <w:r>
              <w:rPr>
                <w:rFonts w:ascii="仿宋_GB2312" w:hAnsi="仿宋_GB2312" w:cs="仿宋_GB2312" w:eastAsia="仿宋_GB2312"/>
                <w:color w:val="0000FF"/>
              </w:rPr>
              <w:t>6.质量要求：合格</w:t>
            </w:r>
          </w:p>
          <w:p>
            <w:pPr>
              <w:pStyle w:val="null3"/>
            </w:pPr>
            <w:r>
              <w:rPr>
                <w:rFonts w:ascii="仿宋_GB2312" w:hAnsi="仿宋_GB2312" w:cs="仿宋_GB2312" w:eastAsia="仿宋_GB2312"/>
                <w:color w:val="0000FF"/>
              </w:rPr>
              <w:t>三、工程量清单和计价依据</w:t>
            </w:r>
          </w:p>
          <w:p>
            <w:pPr>
              <w:pStyle w:val="null3"/>
            </w:pPr>
            <w:r>
              <w:rPr>
                <w:rFonts w:ascii="仿宋_GB2312" w:hAnsi="仿宋_GB2312" w:cs="仿宋_GB2312" w:eastAsia="仿宋_GB2312"/>
                <w:color w:val="0000FF"/>
              </w:rPr>
              <w:t>1、工程量依据设计图纸计算；</w:t>
            </w:r>
          </w:p>
          <w:p>
            <w:pPr>
              <w:pStyle w:val="null3"/>
            </w:pPr>
            <w:r>
              <w:rPr>
                <w:rFonts w:ascii="仿宋_GB2312" w:hAnsi="仿宋_GB2312" w:cs="仿宋_GB2312" w:eastAsia="仿宋_GB2312"/>
                <w:color w:val="0000FF"/>
              </w:rPr>
              <w:t>2、陕西省住房和城乡建设厅关于印发 2025陕西省建设工程费用规则等计价依据的通知《陕建管发【2025】10号》；</w:t>
            </w:r>
          </w:p>
          <w:p>
            <w:pPr>
              <w:pStyle w:val="null3"/>
            </w:pPr>
            <w:r>
              <w:rPr>
                <w:rFonts w:ascii="仿宋_GB2312" w:hAnsi="仿宋_GB2312" w:cs="仿宋_GB2312" w:eastAsia="仿宋_GB2312"/>
                <w:color w:val="0000FF"/>
              </w:rPr>
              <w:t>3、《建设工程工程量清单计价标准》GB/T50500-2024</w:t>
            </w:r>
          </w:p>
          <w:p>
            <w:pPr>
              <w:pStyle w:val="null3"/>
            </w:pPr>
            <w:r>
              <w:rPr>
                <w:rFonts w:ascii="仿宋_GB2312" w:hAnsi="仿宋_GB2312" w:cs="仿宋_GB2312" w:eastAsia="仿宋_GB2312"/>
                <w:color w:val="0000FF"/>
              </w:rPr>
              <w:t>4、陕西省建设工程费用规则(2025)；</w:t>
            </w:r>
          </w:p>
          <w:p>
            <w:pPr>
              <w:pStyle w:val="null3"/>
            </w:pPr>
            <w:r>
              <w:rPr>
                <w:rFonts w:ascii="仿宋_GB2312" w:hAnsi="仿宋_GB2312" w:cs="仿宋_GB2312" w:eastAsia="仿宋_GB2312"/>
                <w:color w:val="0000FF"/>
              </w:rPr>
              <w:t>5、陕西省通用安装工程基价表(2025)；</w:t>
            </w:r>
          </w:p>
          <w:p>
            <w:pPr>
              <w:pStyle w:val="null3"/>
            </w:pPr>
            <w:r>
              <w:rPr>
                <w:rFonts w:ascii="仿宋_GB2312" w:hAnsi="仿宋_GB2312" w:cs="仿宋_GB2312" w:eastAsia="仿宋_GB2312"/>
                <w:color w:val="0000FF"/>
              </w:rPr>
              <w:t>6、正常施工组织设计及施工方法；</w:t>
            </w:r>
          </w:p>
          <w:p>
            <w:pPr>
              <w:pStyle w:val="null3"/>
            </w:pPr>
            <w:r>
              <w:rPr>
                <w:rFonts w:ascii="仿宋_GB2312" w:hAnsi="仿宋_GB2312" w:cs="仿宋_GB2312" w:eastAsia="仿宋_GB2312"/>
                <w:color w:val="0000FF"/>
              </w:rPr>
              <w:t>7、相关施工规范及验收规范；</w:t>
            </w:r>
          </w:p>
          <w:p>
            <w:pPr>
              <w:pStyle w:val="null3"/>
            </w:pPr>
            <w:r>
              <w:rPr>
                <w:rFonts w:ascii="仿宋_GB2312" w:hAnsi="仿宋_GB2312" w:cs="仿宋_GB2312" w:eastAsia="仿宋_GB2312"/>
                <w:color w:val="0000FF"/>
              </w:rPr>
              <w:t>8、采用广联达云计价平台GCCP7.0编制，版本7.5000.23.1；</w:t>
            </w:r>
          </w:p>
          <w:p>
            <w:pPr>
              <w:pStyle w:val="null3"/>
            </w:pPr>
            <w:r>
              <w:rPr>
                <w:rFonts w:ascii="仿宋_GB2312" w:hAnsi="仿宋_GB2312" w:cs="仿宋_GB2312" w:eastAsia="仿宋_GB2312"/>
                <w:color w:val="0000FF"/>
              </w:rPr>
              <w:t>9、本工程管沟、线缆沟均采用人工开挖；</w:t>
            </w:r>
          </w:p>
          <w:p>
            <w:pPr>
              <w:pStyle w:val="null3"/>
            </w:pPr>
            <w:r>
              <w:rPr>
                <w:rFonts w:ascii="仿宋_GB2312" w:hAnsi="仿宋_GB2312" w:cs="仿宋_GB2312" w:eastAsia="仿宋_GB2312"/>
                <w:color w:val="0000FF"/>
              </w:rPr>
              <w:t>10、本工程管沟、线缆沟回填采用同类土，人工夯实。</w:t>
            </w:r>
          </w:p>
          <w:p>
            <w:pPr>
              <w:pStyle w:val="null3"/>
            </w:pPr>
            <w:r>
              <w:rPr>
                <w:rFonts w:ascii="仿宋_GB2312" w:hAnsi="仿宋_GB2312" w:cs="仿宋_GB2312" w:eastAsia="仿宋_GB2312"/>
                <w:color w:val="0000FF"/>
              </w:rPr>
              <w:t>四、施工要求</w:t>
            </w:r>
          </w:p>
          <w:p>
            <w:pPr>
              <w:pStyle w:val="null3"/>
            </w:pPr>
            <w:r>
              <w:rPr>
                <w:rFonts w:ascii="仿宋_GB2312" w:hAnsi="仿宋_GB2312" w:cs="仿宋_GB2312" w:eastAsia="仿宋_GB2312"/>
                <w:color w:val="0000FF"/>
              </w:rPr>
              <w:t>1.在施工期间，中标供应商必须注意人员安全，加强安全措施，并对施工人员进行安全教育。施工人员必须持证上岗。因采购人工作的特殊性，要求中标供应商在施工中做到封闭性施工。</w:t>
            </w:r>
          </w:p>
          <w:p>
            <w:pPr>
              <w:pStyle w:val="null3"/>
            </w:pPr>
            <w:r>
              <w:rPr>
                <w:rFonts w:ascii="仿宋_GB2312" w:hAnsi="仿宋_GB2312" w:cs="仿宋_GB2312" w:eastAsia="仿宋_GB2312"/>
                <w:color w:val="0000FF"/>
              </w:rPr>
              <w:t>2.供应商根据工程实际情况编制施工方案，制定工期进度安排表。</w:t>
            </w:r>
          </w:p>
          <w:p>
            <w:pPr>
              <w:pStyle w:val="null3"/>
            </w:pPr>
            <w:r>
              <w:rPr>
                <w:rFonts w:ascii="仿宋_GB2312" w:hAnsi="仿宋_GB2312" w:cs="仿宋_GB2312" w:eastAsia="仿宋_GB2312"/>
                <w:color w:val="0000FF"/>
              </w:rPr>
              <w:t>3.施工过程中，严格遵守建设单位的各种管理规定及规章制度，做到文明施工。发生工伤及意外事故由施工单位负责。</w:t>
            </w:r>
          </w:p>
          <w:p>
            <w:pPr>
              <w:pStyle w:val="null3"/>
            </w:pPr>
            <w:r>
              <w:rPr>
                <w:rFonts w:ascii="仿宋_GB2312" w:hAnsi="仿宋_GB2312" w:cs="仿宋_GB2312" w:eastAsia="仿宋_GB2312"/>
                <w:color w:val="0000FF"/>
              </w:rPr>
              <w:t>4.工程实行包工包料，供应商必须具备相应的资质，不得转包、分包。</w:t>
            </w:r>
          </w:p>
          <w:p>
            <w:pPr>
              <w:pStyle w:val="null3"/>
            </w:pPr>
            <w:r>
              <w:rPr>
                <w:rFonts w:ascii="仿宋_GB2312" w:hAnsi="仿宋_GB2312" w:cs="仿宋_GB2312" w:eastAsia="仿宋_GB2312"/>
                <w:color w:val="0000FF"/>
              </w:rPr>
              <w:t>5.施工过程中，严格遵守采购人的各种管理规定及规章制度，做到文明施工，避免工伤及意外事故发生。</w:t>
            </w:r>
          </w:p>
          <w:p>
            <w:pPr>
              <w:pStyle w:val="null3"/>
            </w:pPr>
            <w:r>
              <w:rPr>
                <w:rFonts w:ascii="仿宋_GB2312" w:hAnsi="仿宋_GB2312" w:cs="仿宋_GB2312" w:eastAsia="仿宋_GB2312"/>
                <w:color w:val="0000FF"/>
              </w:rPr>
              <w:t>6.严格按照国家和省上有关规定施工、规范施工，确保工程合格，如有更改须事先征得有关方面的同意，并在采购人落实后实施，并出具书面说明。</w:t>
            </w:r>
          </w:p>
          <w:p>
            <w:pPr>
              <w:pStyle w:val="null3"/>
            </w:pPr>
            <w:r>
              <w:rPr>
                <w:rFonts w:ascii="仿宋_GB2312" w:hAnsi="仿宋_GB2312" w:cs="仿宋_GB2312" w:eastAsia="仿宋_GB2312"/>
                <w:color w:val="0000FF"/>
              </w:rPr>
              <w:t>7.所有进场材料需携带合格证等质量证明文件。由采购人现场代表对所进场材料予以验收并签字确认。</w:t>
            </w:r>
          </w:p>
          <w:p>
            <w:pPr>
              <w:pStyle w:val="null3"/>
            </w:pPr>
            <w:r>
              <w:rPr>
                <w:rFonts w:ascii="仿宋_GB2312" w:hAnsi="仿宋_GB2312" w:cs="仿宋_GB2312" w:eastAsia="仿宋_GB2312"/>
                <w:color w:val="0000FF"/>
              </w:rPr>
              <w:t>8.施工期间需采取必要措施确保现场正常运行。</w:t>
            </w:r>
          </w:p>
          <w:p>
            <w:pPr>
              <w:pStyle w:val="null3"/>
            </w:pPr>
            <w:r>
              <w:rPr>
                <w:rFonts w:ascii="仿宋_GB2312" w:hAnsi="仿宋_GB2312" w:cs="仿宋_GB2312" w:eastAsia="仿宋_GB2312"/>
                <w:color w:val="0000FF"/>
              </w:rPr>
              <w:t>9.施工方未经采购人同意，不得擅自更换本工程在磋商响应文件中指定的项目施工负责人(项目经理)及施工队伍。不得分包、转包。确需分包时须征得采购人同意。否则将终止合同并按政府采购有关规定进行处理。</w:t>
            </w:r>
          </w:p>
          <w:p>
            <w:pPr>
              <w:pStyle w:val="null3"/>
            </w:pPr>
            <w:r>
              <w:rPr>
                <w:rFonts w:ascii="仿宋_GB2312" w:hAnsi="仿宋_GB2312" w:cs="仿宋_GB2312" w:eastAsia="仿宋_GB2312"/>
                <w:color w:val="0000FF"/>
              </w:rPr>
              <w:t>五、商务要求（如合同价款及结算方式等）</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1）合同签订后7天内，支付合同总价款40%作为预付款。</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2）设备材料到场后7天内，再支付合同总价的30%。</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3）工程完工并验收合格后7天内，支付到合同总价的100%。</w:t>
            </w:r>
          </w:p>
          <w:p>
            <w:pPr>
              <w:pStyle w:val="null3"/>
            </w:pPr>
            <w:r>
              <w:rPr>
                <w:rFonts w:ascii="仿宋_GB2312" w:hAnsi="仿宋_GB2312" w:cs="仿宋_GB2312" w:eastAsia="仿宋_GB2312"/>
                <w:color w:val="0000FF"/>
              </w:rPr>
              <w:t>六、其他</w:t>
            </w:r>
          </w:p>
          <w:p>
            <w:pPr>
              <w:pStyle w:val="null3"/>
            </w:pPr>
            <w:r>
              <w:rPr>
                <w:rFonts w:ascii="仿宋_GB2312" w:hAnsi="仿宋_GB2312" w:cs="仿宋_GB2312" w:eastAsia="仿宋_GB2312"/>
                <w:color w:val="0000FF"/>
              </w:rPr>
              <w:t>1.质量验收标准或规范</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1）符合国家及行业质量验收“合格”标准；</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2）符合《安全生产管理条例》的标准；符合工程相关规范要求；</w:t>
            </w:r>
          </w:p>
          <w:p>
            <w:pPr>
              <w:pStyle w:val="null3"/>
            </w:pPr>
            <w:r>
              <w:rPr>
                <w:rFonts w:ascii="仿宋_GB2312" w:hAnsi="仿宋_GB2312" w:cs="仿宋_GB2312" w:eastAsia="仿宋_GB2312"/>
                <w:color w:val="0000FF"/>
              </w:rPr>
              <w:t>（</w:t>
            </w:r>
            <w:r>
              <w:rPr>
                <w:rFonts w:ascii="仿宋_GB2312" w:hAnsi="仿宋_GB2312" w:cs="仿宋_GB2312" w:eastAsia="仿宋_GB2312"/>
                <w:color w:val="0000FF"/>
              </w:rPr>
              <w:t>3）工程验收标准：双方约定，在符合采购文件及合同中关于本工程施工要求的前提下，以采购人现场验收合格为准。</w:t>
            </w:r>
          </w:p>
          <w:p>
            <w:pPr>
              <w:pStyle w:val="null3"/>
            </w:pPr>
            <w:r>
              <w:rPr>
                <w:rFonts w:ascii="仿宋_GB2312" w:hAnsi="仿宋_GB2312" w:cs="仿宋_GB2312" w:eastAsia="仿宋_GB2312"/>
                <w:color w:val="0000FF"/>
              </w:rPr>
              <w:t>2.违约责任</w:t>
            </w:r>
          </w:p>
          <w:p>
            <w:pPr>
              <w:pStyle w:val="null3"/>
              <w:jc w:val="both"/>
            </w:pPr>
            <w:r>
              <w:rPr>
                <w:rFonts w:ascii="仿宋_GB2312" w:hAnsi="仿宋_GB2312" w:cs="仿宋_GB2312" w:eastAsia="仿宋_GB2312"/>
                <w:sz w:val="21"/>
                <w:color w:val="0000FF"/>
              </w:rPr>
              <w:t>详见建设工程施工合同，不超出《中华人民共和国民法典》中对于违约的责任上限</w:t>
            </w:r>
            <w:r>
              <w:rPr>
                <w:rFonts w:ascii="仿宋_GB2312" w:hAnsi="仿宋_GB2312" w:cs="仿宋_GB2312" w:eastAsia="仿宋_GB2312"/>
                <w:sz w:val="21"/>
                <w:color w:val="0000FF"/>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质量验收“合格”标准；（2）符合《安全生产管理条例》的标准；符合工程相关规范要求；（3）工程验收标准：双方约定，在符合采购文件及合同中关于本工程施工要求的前提下，以采购人现场验收合格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成交供应商在领取成交通知书时提供纸质版投标文件2套，应通过专用制作软件直接打印，确保与电子投标文件保持一致，不允许修改和补充。提交地点：陕西省西安市莲湖区丰登南路3号1幢306室（丰庆公园北门往西200米PM中心三楼）。 二、供应商的磋商报价包括施工设备费、人工费、管理费、材料与设备费、安装费、维护费、保险费、税金、利润、政策性规费、风险、责任等完成本项目的所有费用。 三、恶意质疑、投诉的法律后果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1）《中华人民共和国刑法》第243条【诬告陷害罪】捏造事实诬告陷害他人，意图使他人受刑事追究，情节严重的，处三年以下有期徒刑、拘役或者管制；造成严重后果的，处三年以上十年以下有期徒刑。（2）《中华人民共和国刑法》第246条【侮辱罪、诽谤罪】以暴力或者其他方法公然侮辱他人或者捏造事实诽谤他人，情节严重的，处三年以下有期徒刑、拘役、管制或者剥夺政治权利。四、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 (2) 法定代表人参加磋商的，提供本人身份证复印件；法定代表人授权他人参加磋商的，提供法定代表人委托授权书并出示被授权代表的身份证复印件；（3）税收缴纳证明：提供磋商截止时间前半年内任意一个月的纳税证明或完税证明，依法免税的单位应提供相关证明材料；（4）社会保障资金缴纳证明：提供磋商截止时间前半年内任意一个月的社会保障资金缴存单据或社保机构开具的社会保险参保缴费情况证明，依法不需要缴纳社会保障资金的单位应提供相关证明材料；（5）参加本次招标前3年内，在经营活动中没有重大违法记录的书面声明。</w:t>
            </w:r>
          </w:p>
        </w:tc>
        <w:tc>
          <w:tcPr>
            <w:tcW w:type="dxa" w:w="1661"/>
          </w:tcPr>
          <w:p>
            <w:pPr>
              <w:pStyle w:val="null3"/>
            </w:pPr>
            <w:r>
              <w:rPr>
                <w:rFonts w:ascii="仿宋_GB2312" w:hAnsi="仿宋_GB2312" w:cs="仿宋_GB2312" w:eastAsia="仿宋_GB2312"/>
              </w:rPr>
              <w:t>资格证明部分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提供2023年度或2024年度经审计的财务会计报告或其提交响应文件截止时间前3个月内银行出具的资信证明。（以上形式的资料提供任何一种即可） 要求：（1）供应商是企业法人的，应提供2023或2024全年度经审计的财务报告，包括 “四表一注”即《资产负债表》《利润表》《现金流量表》《所有者权益变动表》及其附注，或者提交响应文件截止时间前3个月内其基本账户开户银行出具的资信证明（附基本存款账户信息）；供应商是执行《小企业会计准则》的小微企业的，应提供2023或2024全年度经审计的财务报告，至少包括 《资产负债表》《利润表》《现金流量表》及其附注，或者提交响应文件截止时间前3个月内其基本账户开户银行出具的资信证明（附基本存款账户信息）； （2）其他组织和自然人，提供提交响应文件截止时间前3个月内银行出具的资信证明（附账户信息）； （3）供应商成立不到1年（至提交响应文件截止时间）的，提供成立后任意时段的资产负债表，或提交响应文件截止时间前3个月内其基本账户开户银行出具的资信证明（附基本存款账户信息）。</w:t>
            </w:r>
          </w:p>
        </w:tc>
        <w:tc>
          <w:tcPr>
            <w:tcW w:type="dxa" w:w="1661"/>
          </w:tcPr>
          <w:p>
            <w:pPr>
              <w:pStyle w:val="null3"/>
            </w:pPr>
            <w:r>
              <w:rPr>
                <w:rFonts w:ascii="仿宋_GB2312" w:hAnsi="仿宋_GB2312" w:cs="仿宋_GB2312" w:eastAsia="仿宋_GB2312"/>
              </w:rPr>
              <w:t>资格证明部分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资格证明部分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供应商及拟派项目负责人资质和专业要求</w:t>
            </w:r>
          </w:p>
        </w:tc>
        <w:tc>
          <w:tcPr>
            <w:tcW w:type="dxa" w:w="3322"/>
          </w:tcPr>
          <w:p>
            <w:pPr>
              <w:pStyle w:val="null3"/>
            </w:pPr>
            <w:r>
              <w:rPr>
                <w:rFonts w:ascii="仿宋_GB2312" w:hAnsi="仿宋_GB2312" w:cs="仿宋_GB2312" w:eastAsia="仿宋_GB2312"/>
              </w:rPr>
              <w:t>（1）供应商须具备特种工程专业承包（特种防雷）资质，并具有有效的安全生产许可证；（2）供应商拟派项目经理须具备合法有效的机电工程专业二级及以上注册建造师执业资格和有效的安全生产考核合格证书（B证）且在本单位注册，未担任其他在建工程项目的项目经理，且无不良记录（提供承诺书）；（3）供应商未被“信用中国”网站列入失信被执行人、重大税收违法失信主体名单，未被“中国政府采购网”网站列入政府采购严重违法失信行为记录名单；（4）供应商基本信息及项目经理的基本信息在“陕西省住房和城乡建设厅(http://js.shaanxi.gov.cn/)”或“全国建筑市场监管公共服务平台(https://jzsc.mohurd.gov.cn/)”可查询；（5）单位负责人为同一人或者存在直接控股、管理关系的不同供应商，不得参加同一合同项下的采购活动；（6）本项目不接受联合体磋商。</w:t>
            </w:r>
          </w:p>
        </w:tc>
        <w:tc>
          <w:tcPr>
            <w:tcW w:type="dxa" w:w="1661"/>
          </w:tcPr>
          <w:p>
            <w:pPr>
              <w:pStyle w:val="null3"/>
            </w:pPr>
            <w:r>
              <w:rPr>
                <w:rFonts w:ascii="仿宋_GB2312" w:hAnsi="仿宋_GB2312" w:cs="仿宋_GB2312" w:eastAsia="仿宋_GB2312"/>
              </w:rPr>
              <w:t>资格证明部分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应符合磋商文件中的要求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商务技术部分 资格证明部分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商务技术部分 资格证明部分</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商务技术部分 资格证明部分 供应商类似项目业绩一览表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商务技术部分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施工目标：成本目标、工期目标、质量目标；②施工准备：材料准备、机械准备、机具准备；③施工平面布置与安排：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三、赋分标准（满分18分） ①施工目标：此评审项满分6分，每完全满足一个评审标准得2分，针对每条评审标准，如存在不详尽或不合理的方面，得1分；针对每条评审标准，方案内容与本项目无关或未提供的，得0分。 ②施工准备：此评审项满分6分，每完全满足一个评审标准得2分，针对每条评审标准，如存在不详尽或不合理的方面，得1分；针对每条评审标准，方案内容与本项目无关或未提供的，得0分。 ③施工平面布置与安排：此评审项满分6分，每完全满足一个评审标准得2分，针对每条评审标准，如存在不详尽或不合理的方面，得1分；针对每条评审标准，方案内容与本项目无关或未提供的，得0分。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供应商针对本项目编制完善的施工质量保证措施，内容包含：①质量目标管理体系；②确保质量的技术组织措施；③施工质量控制措施。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①质量目标管理体系：此评审项满分3分，每完全满足一个评审标准得1分，针对每条评审标准，如存在不详尽或不合理的方面，得0.5分；针对每条评审标准，方案内容与本项目无关或未提供的，得0分。 ②确保质量的技术组织措施：此评审项满分3分，每完全满足一个评审标准得1分，针对每条评审标准，如存在不详尽或不合理的方面，得0.5分；针对每条评审标准，方案内容与本项目无关或未提供的，得0分。 ③施工质量控制措施：此评审项满分3分，每完全满足一个评审标准得1分，针对每条评审标准，如存在不详尽或不合理的方面，得0.5分；针对每条评审标准，方案内容与本项目无关或未提供的，得0分。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一、评审内容 供应商针对本项目编制完整的施工安全保证措施，内容包含：①安全生产管理制度；②安全施工措施。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①安全生产管理制度：此评审项满分3分，每完全满足一个评审标准得1分，针对每条评审标准，如存在不详尽或不合理的方面，得0.5分；针对每条评审标准，方案内容与本项目无关或未提供的，得0分。 ②安全施工措施：此评审项满分3分，每完全满足一个评审标准得1分，针对每条评审标准，如存在不详尽或不合理的方面，得0.5分；针对每条评审标准，方案内容与本项目无关或未提供的，得0分。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一、评审内容 供应商针对本项目编制完善的施工进度计划及工期保证措施，内容包含：①施工进度计划横道图；②进度计划保证措施；③工期保证措施。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①施工进度计划横道图：此评审项满分3分，每完全满足一个评审标准得1分，针对每条评审标准，如存在不详尽或不合理的方面，得0.5分；针对每条评审标准，方案内容与本项目无关或未提供的，得0分。 ②进度计划保证措施：此评审项满分3分，每完全满足一个评审标准得1分，针对每条评审标准，如存在不详尽或不合理的方面，得0.5分；针对每条评审标准，方案内容与本项目无关或未提供的，得0分。 ③工期保证措施：此评审项满分3分，每完全满足一个评审标准得1分，针对每条评审标准，如存在不详尽或不合理的方面，得0.5分；针对每条评审标准，方案内容与本项目无关或未提供的，得0分。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一、评审内容 供应商针对本项目编制完整的文明施工及环境保护措施，内容包含：①文明施工管理目标及技术措施；②文明施工现场管理：材料管理、防扰民措施；③环境保护措施。 二、评审标准 1、完整性：方案必须全面，对评审内容中的各项要求有详细描述； 2、可实施性：切合本项目实际情况，提出步骤清晰、合理的方案； 3、针对性：方案能够紧扣项目实际情况，内容科学合理。 三、赋分标准（满分9分） ①文明施工管理目标及技术措施：此评审项满分3分，每完全满足一个评审标准得1分，针对每条评审标准，如存在不详尽或不合理的方面，得0.5分；针对每条评审标准，方案内容与本项目无关或未提供的，得0分。 ②文明施工现场管理：此评审项满分3分，每完全满足一个评审标准得1分，针对每条评审标准，如存在不详尽或不合理的方面，得0.5分；针对每条评审标准，方案内容与本项目无关或未提供的，得0分。 ③环境保护措施：此评审项满分3分，每完全满足一个评审标准得1分，针对每条评审标准，如存在不详尽或不合理的方面，得0.5分；针对每条评审标准，方案内容与本项目无关或未提供的，得0分。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一、评审内容 供应商针对本项目编制科学的项目管理机构及劳动力安排计划，内容包含：①管理机构的配备计划；②组织机构的岗位职责；③劳动力安排计划。 二、评审标准 1、完整性：方案必须全面，对评审内容中的各项要求有详细描述； 2、可实施性：切合本项目实际情况，提出步骤清晰、合理的方案； 3、针对性：方案能够紧扣项目实际情况，内容科学合理。 三、赋分标准（满分9分） ①管理机构的配备计划：此评审项满分3分，每完全满足一个评审标准得1分，针对每条评审标准，如存在不详尽或不合理的方面，得0.5分；针对每条评审标准，方案内容与本项目无关或未提供的，得0分。 ②组织机构的岗位职责：此评审项满分3分，每完全满足一个评审标准得1分，针对每条评审标准，如存在不详尽或不合理的方面，得0.5分；针对每条评审标准，方案内容与本项目无关或未提供的，得0分。 ③劳动力安排计划：此评审项满分3分，每完全满足一个评审标准得1分，针对每条评审标准，如存在不详尽或不合理的方面，得0.5分；针对每条评审标准，方案内容与本项目无关或未提供的，得0分。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一、评审内容 供应商针对本项目编制的突发事件处理预案措施，内容包含：①恶劣天气影响、自然灾害预案措施；②政府性重大活动，重大节假日预案措施。 二、评审标准 1、完整性：方案必须全面，对评审内容中的各项要求有详细描述； 2、可实施性：切合本项目实际情况，提出步骤清晰、合理的方案； 3、针对性：方案能够紧扣项目实际情况，内容科学合理。 三、赋分标准（满分6分） ①恶劣天气影响、自然灾害预案措施：此评审项满分3分，每完全满足一个评审标准得1分，针对每条评审标准，如存在不详尽或不合理的方面，得0.5分；针对每条评审标准，方案内容与本项目无关或未提供的，得0分。 ②政府性重大活动，重大节假日预案措施：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三、赋分标准（满分6分） ①验收方案：此评审项满分3分，每完全满足一个评审标准得1分，针对每条评审标准，如存在不详尽或不合理的方面，得0.5分；针对每条评审标准，方案内容与本项目无关或未提供的，得0分。 ②保修责任及保修承诺：此评审项满分3分，每完全满足一个评审标准得1分，针对每条评审标准，如存在不详尽或不合理的方面，得0.5分；针对每条评审标准，方案内容与本项目无关或未提供的，得0分。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具有2022年10月1日至今的类似业绩(以合同签订日期为准)，业绩以合同复印件为依据。每个业绩计2分，4个以上(含4个)计8分。未提供计0分。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财库〔2020〕46号文件的规定，采用低价优先法计算，以本次满足磋商文件要求的最低最后磋商报价为磋商基准价，其磋商报价为满分。供应商的磋商报价得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