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40D1">
      <w:pPr>
        <w:pStyle w:val="20"/>
        <w:spacing w:line="720" w:lineRule="auto"/>
        <w:jc w:val="center"/>
        <w:rPr>
          <w:rFonts w:ascii="宋体" w:hAnsi="宋体" w:eastAsia="宋体" w:cs="Times New Roman"/>
          <w:bCs/>
          <w:color w:val="auto"/>
          <w:kern w:val="44"/>
          <w:szCs w:val="44"/>
        </w:rPr>
      </w:pPr>
      <w:r>
        <w:rPr>
          <w:rFonts w:hint="eastAsia" w:ascii="宋体" w:hAnsi="宋体" w:eastAsia="宋体" w:cs="Times New Roman"/>
          <w:bCs/>
          <w:color w:val="auto"/>
          <w:kern w:val="44"/>
          <w:szCs w:val="44"/>
        </w:rPr>
        <w:t>合同条款及格式</w:t>
      </w:r>
    </w:p>
    <w:p w14:paraId="478CC91F">
      <w:pPr>
        <w:spacing w:line="360" w:lineRule="auto"/>
        <w:rPr>
          <w:rFonts w:ascii="宋体" w:hAnsi="宋体" w:eastAsia="宋体" w:cs="宋体"/>
          <w:bCs/>
          <w:color w:val="auto"/>
          <w:sz w:val="32"/>
          <w:szCs w:val="32"/>
        </w:rPr>
      </w:pPr>
      <w:r>
        <w:rPr>
          <w:rFonts w:hint="eastAsia" w:ascii="宋体" w:hAnsi="宋体" w:eastAsia="宋体" w:cs="宋体"/>
          <w:bCs/>
          <w:color w:val="auto"/>
          <w:sz w:val="32"/>
          <w:szCs w:val="32"/>
        </w:rPr>
        <w:t>（GF—2017—0201）</w:t>
      </w:r>
    </w:p>
    <w:p w14:paraId="30392AF5">
      <w:pPr>
        <w:spacing w:line="360" w:lineRule="auto"/>
        <w:jc w:val="center"/>
        <w:rPr>
          <w:rFonts w:ascii="宋体" w:hAnsi="宋体" w:eastAsia="宋体" w:cs="宋体"/>
          <w:b/>
          <w:color w:val="auto"/>
          <w:sz w:val="52"/>
          <w:szCs w:val="52"/>
        </w:rPr>
      </w:pPr>
    </w:p>
    <w:p w14:paraId="470A29CC">
      <w:pPr>
        <w:spacing w:line="360" w:lineRule="auto"/>
        <w:jc w:val="center"/>
        <w:rPr>
          <w:rFonts w:ascii="宋体" w:hAnsi="宋体" w:eastAsia="宋体" w:cs="宋体"/>
          <w:b/>
          <w:color w:val="auto"/>
          <w:sz w:val="52"/>
          <w:szCs w:val="52"/>
        </w:rPr>
      </w:pPr>
    </w:p>
    <w:p w14:paraId="3491F5B4">
      <w:pPr>
        <w:spacing w:line="360" w:lineRule="auto"/>
        <w:jc w:val="center"/>
        <w:rPr>
          <w:rFonts w:ascii="宋体" w:hAnsi="宋体" w:eastAsia="宋体" w:cs="宋体"/>
          <w:b/>
          <w:color w:val="auto"/>
          <w:sz w:val="52"/>
          <w:szCs w:val="52"/>
        </w:rPr>
      </w:pPr>
    </w:p>
    <w:p w14:paraId="68778D16">
      <w:pPr>
        <w:spacing w:line="360" w:lineRule="auto"/>
        <w:jc w:val="center"/>
        <w:rPr>
          <w:rFonts w:ascii="宋体" w:hAnsi="宋体" w:eastAsia="宋体" w:cs="宋体"/>
          <w:b/>
          <w:color w:val="auto"/>
          <w:sz w:val="72"/>
          <w:szCs w:val="52"/>
        </w:rPr>
      </w:pPr>
      <w:r>
        <w:rPr>
          <w:rFonts w:hint="eastAsia" w:ascii="宋体" w:hAnsi="宋体" w:eastAsia="宋体" w:cs="宋体"/>
          <w:b/>
          <w:color w:val="auto"/>
          <w:sz w:val="72"/>
          <w:szCs w:val="52"/>
        </w:rPr>
        <w:t>建设工程施工合同</w:t>
      </w:r>
    </w:p>
    <w:p w14:paraId="495DD0BF">
      <w:pPr>
        <w:spacing w:line="360" w:lineRule="auto"/>
        <w:jc w:val="center"/>
        <w:rPr>
          <w:rFonts w:ascii="宋体" w:hAnsi="宋体" w:eastAsia="宋体" w:cs="宋体"/>
          <w:b/>
          <w:color w:val="auto"/>
          <w:sz w:val="28"/>
          <w:szCs w:val="28"/>
        </w:rPr>
      </w:pPr>
    </w:p>
    <w:p w14:paraId="0AD9FC2B">
      <w:pPr>
        <w:spacing w:line="360" w:lineRule="auto"/>
        <w:jc w:val="center"/>
        <w:rPr>
          <w:rFonts w:ascii="仿宋" w:hAnsi="仿宋" w:eastAsia="仿宋" w:cs="仿宋"/>
          <w:b/>
          <w:color w:val="auto"/>
          <w:sz w:val="36"/>
        </w:rPr>
      </w:pPr>
      <w:r>
        <w:rPr>
          <w:rFonts w:hint="eastAsia" w:ascii="仿宋" w:hAnsi="仿宋" w:eastAsia="仿宋" w:cs="仿宋"/>
          <w:b/>
          <w:color w:val="auto"/>
          <w:sz w:val="36"/>
        </w:rPr>
        <w:t>（本合同仅为参考模版）</w:t>
      </w:r>
    </w:p>
    <w:p w14:paraId="30845D9F">
      <w:pPr>
        <w:spacing w:line="360" w:lineRule="auto"/>
        <w:jc w:val="center"/>
        <w:rPr>
          <w:rFonts w:ascii="宋体" w:hAnsi="宋体" w:eastAsia="宋体" w:cs="宋体"/>
          <w:b/>
          <w:color w:val="auto"/>
          <w:sz w:val="52"/>
          <w:szCs w:val="52"/>
        </w:rPr>
      </w:pPr>
    </w:p>
    <w:p w14:paraId="46D614D3">
      <w:pPr>
        <w:spacing w:line="360" w:lineRule="auto"/>
        <w:jc w:val="center"/>
        <w:rPr>
          <w:rFonts w:ascii="宋体" w:hAnsi="宋体" w:eastAsia="宋体" w:cs="宋体"/>
          <w:b/>
          <w:color w:val="auto"/>
          <w:sz w:val="52"/>
          <w:szCs w:val="52"/>
        </w:rPr>
      </w:pPr>
    </w:p>
    <w:p w14:paraId="54EA3D36">
      <w:pPr>
        <w:spacing w:line="360" w:lineRule="auto"/>
        <w:rPr>
          <w:rFonts w:ascii="宋体" w:hAnsi="宋体" w:eastAsia="宋体" w:cs="宋体"/>
          <w:b/>
          <w:color w:val="auto"/>
          <w:sz w:val="28"/>
          <w:szCs w:val="28"/>
        </w:rPr>
      </w:pPr>
    </w:p>
    <w:p w14:paraId="1923DFC3">
      <w:pPr>
        <w:spacing w:line="360" w:lineRule="auto"/>
        <w:rPr>
          <w:rFonts w:ascii="宋体" w:hAnsi="宋体" w:eastAsia="宋体" w:cs="宋体"/>
          <w:b/>
          <w:color w:val="auto"/>
          <w:sz w:val="28"/>
          <w:szCs w:val="28"/>
        </w:rPr>
      </w:pPr>
    </w:p>
    <w:p w14:paraId="7F2BAB50">
      <w:pPr>
        <w:spacing w:line="360" w:lineRule="auto"/>
        <w:rPr>
          <w:rFonts w:ascii="宋体" w:hAnsi="宋体" w:eastAsia="宋体" w:cs="宋体"/>
          <w:b/>
          <w:color w:val="auto"/>
          <w:sz w:val="28"/>
          <w:szCs w:val="28"/>
        </w:rPr>
      </w:pPr>
    </w:p>
    <w:p w14:paraId="758A34EE">
      <w:pPr>
        <w:spacing w:line="360" w:lineRule="auto"/>
        <w:ind w:right="2719" w:rightChars="1295" w:firstLine="2738" w:firstLineChars="1304"/>
        <w:jc w:val="distribute"/>
        <w:rPr>
          <w:rFonts w:ascii="宋体" w:hAnsi="宋体" w:eastAsia="宋体" w:cs="宋体"/>
          <w:b/>
          <w:color w:val="auto"/>
          <w:sz w:val="32"/>
          <w:szCs w:val="28"/>
        </w:rPr>
      </w:pPr>
      <w:r>
        <w:rPr>
          <w:rFonts w:hint="eastAsia" w:ascii="宋体" w:hAnsi="宋体" w:eastAsia="宋体" w:cs="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4658B6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2cTqEICAABrBAAADgAAAAAAAAABACAA&#10;AAAnAQAAZHJzL2Uyb0RvYy54bWxQSwUGAAAAAAYABgBZAQAA2wUAAAAA&#10;">
                <v:fill on="f" focussize="0,0"/>
                <v:stroke color="#FFFFFF" miterlimit="8" joinstyle="miter"/>
                <v:imagedata o:title=""/>
                <o:lock v:ext="edit" aspectratio="f"/>
                <v:textbox>
                  <w:txbxContent>
                    <w:p w14:paraId="4658B6DA">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32"/>
          <w:szCs w:val="28"/>
        </w:rPr>
        <w:t>住房城乡建设部</w:t>
      </w:r>
    </w:p>
    <w:p w14:paraId="4BF697E9">
      <w:pPr>
        <w:spacing w:line="360" w:lineRule="auto"/>
        <w:ind w:right="2719" w:rightChars="1295" w:firstLine="2750" w:firstLineChars="856"/>
        <w:jc w:val="distribute"/>
        <w:rPr>
          <w:rFonts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48502EC4">
      <w:pPr>
        <w:spacing w:line="360" w:lineRule="auto"/>
        <w:rPr>
          <w:rFonts w:ascii="宋体" w:hAnsi="宋体" w:eastAsia="宋体" w:cs="宋体"/>
          <w:b/>
          <w:color w:val="auto"/>
          <w:sz w:val="30"/>
          <w:szCs w:val="30"/>
        </w:rPr>
        <w:sectPr>
          <w:footerReference r:id="rId3" w:type="default"/>
          <w:pgSz w:w="11906" w:h="16838"/>
          <w:pgMar w:top="1418" w:right="1555" w:bottom="1418" w:left="1531" w:header="851" w:footer="992" w:gutter="0"/>
          <w:cols w:space="720" w:num="1"/>
          <w:docGrid w:type="lines" w:linePitch="312" w:charSpace="0"/>
        </w:sectPr>
      </w:pPr>
    </w:p>
    <w:p w14:paraId="28DE7021">
      <w:pPr>
        <w:keepNext/>
        <w:keepLines/>
        <w:adjustRightInd w:val="0"/>
        <w:snapToGrid w:val="0"/>
        <w:spacing w:line="360" w:lineRule="auto"/>
        <w:ind w:firstLine="422" w:firstLineChars="200"/>
        <w:jc w:val="center"/>
        <w:outlineLvl w:val="1"/>
        <w:rPr>
          <w:rFonts w:ascii="宋体" w:hAnsi="宋体" w:eastAsia="宋体" w:cs="宋体"/>
          <w:b/>
          <w:bCs/>
          <w:color w:val="auto"/>
          <w:kern w:val="44"/>
          <w:szCs w:val="21"/>
        </w:rPr>
      </w:pPr>
      <w:bookmarkStart w:id="0" w:name="_Toc23264"/>
      <w:bookmarkStart w:id="1" w:name="_Toc19619"/>
      <w:r>
        <w:rPr>
          <w:rFonts w:hint="eastAsia" w:ascii="宋体" w:hAnsi="宋体" w:eastAsia="宋体" w:cs="宋体"/>
          <w:b/>
          <w:bCs/>
          <w:color w:val="auto"/>
          <w:kern w:val="44"/>
          <w:szCs w:val="21"/>
        </w:rPr>
        <w:t>第一部分 合同协议书</w:t>
      </w:r>
      <w:bookmarkEnd w:id="0"/>
      <w:bookmarkEnd w:id="1"/>
    </w:p>
    <w:p w14:paraId="01D9D397">
      <w:pPr>
        <w:adjustRightInd w:val="0"/>
        <w:snapToGrid w:val="0"/>
        <w:spacing w:line="360" w:lineRule="auto"/>
        <w:rPr>
          <w:rFonts w:ascii="宋体" w:hAnsi="宋体" w:eastAsia="宋体" w:cs="宋体"/>
          <w:b/>
          <w:bCs/>
          <w:color w:val="auto"/>
          <w:szCs w:val="21"/>
          <w:u w:val="single"/>
        </w:rPr>
      </w:pPr>
      <w:r>
        <w:rPr>
          <w:rFonts w:hint="eastAsia" w:ascii="宋体" w:hAnsi="宋体" w:eastAsia="宋体" w:cs="宋体"/>
          <w:b/>
          <w:bCs/>
          <w:color w:val="auto"/>
          <w:szCs w:val="21"/>
        </w:rPr>
        <w:t>发包人（全称）：</w:t>
      </w:r>
      <w:r>
        <w:rPr>
          <w:rFonts w:hint="eastAsia" w:ascii="宋体" w:hAnsi="宋体" w:eastAsia="宋体" w:cs="宋体"/>
          <w:b/>
          <w:bCs/>
          <w:color w:val="auto"/>
          <w:szCs w:val="21"/>
          <w:u w:val="single"/>
        </w:rPr>
        <w:t xml:space="preserve">                          </w:t>
      </w:r>
    </w:p>
    <w:p w14:paraId="5C0224D6">
      <w:pPr>
        <w:adjustRightInd w:val="0"/>
        <w:snapToGrid w:val="0"/>
        <w:spacing w:line="360" w:lineRule="auto"/>
        <w:rPr>
          <w:rFonts w:ascii="宋体" w:hAnsi="宋体" w:eastAsia="宋体" w:cs="宋体"/>
          <w:b/>
          <w:color w:val="auto"/>
          <w:szCs w:val="21"/>
        </w:rPr>
      </w:pPr>
      <w:r>
        <w:rPr>
          <w:rFonts w:hint="eastAsia" w:ascii="宋体" w:hAnsi="宋体" w:eastAsia="宋体" w:cs="宋体"/>
          <w:b/>
          <w:bCs/>
          <w:color w:val="auto"/>
          <w:szCs w:val="21"/>
        </w:rPr>
        <w:t>承包人（全称）：</w:t>
      </w:r>
      <w:r>
        <w:rPr>
          <w:rFonts w:hint="eastAsia" w:ascii="宋体" w:hAnsi="宋体" w:eastAsia="宋体" w:cs="宋体"/>
          <w:b/>
          <w:bCs/>
          <w:color w:val="auto"/>
          <w:szCs w:val="21"/>
          <w:u w:val="single"/>
        </w:rPr>
        <w:t xml:space="preserve">                          </w:t>
      </w:r>
    </w:p>
    <w:p w14:paraId="279F1E5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根据《中华人民共和国民法典》、《中华人民共和国建筑法》及有关法律规定，遵循平等、自愿、公平和诚实信用的原则，双方就</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工程施工及有关事项协商一致，共同达成如下协议：</w:t>
      </w:r>
    </w:p>
    <w:p w14:paraId="2714DB98">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 w:name="_Toc2078"/>
      <w:bookmarkStart w:id="3" w:name="_Toc17713"/>
      <w:bookmarkStart w:id="4" w:name="_Toc32238"/>
      <w:bookmarkStart w:id="5" w:name="_Toc14184"/>
      <w:bookmarkStart w:id="6" w:name="_Toc15428"/>
      <w:r>
        <w:rPr>
          <w:rFonts w:hint="eastAsia" w:ascii="宋体" w:hAnsi="宋体" w:eastAsia="宋体" w:cs="宋体"/>
          <w:b/>
          <w:bCs/>
          <w:color w:val="auto"/>
          <w:szCs w:val="21"/>
        </w:rPr>
        <w:t>一、工程概况</w:t>
      </w:r>
      <w:bookmarkEnd w:id="2"/>
      <w:bookmarkEnd w:id="3"/>
      <w:bookmarkEnd w:id="4"/>
      <w:bookmarkEnd w:id="5"/>
      <w:bookmarkEnd w:id="6"/>
    </w:p>
    <w:p w14:paraId="3FF96F7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1.工程名称：</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w:t>
      </w:r>
    </w:p>
    <w:p w14:paraId="010BCE9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2.工程地点：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E10E71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3.工程立项批准文号：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81141C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4.资金来源：</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932FFA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5.工程内容：</w:t>
      </w:r>
      <w:r>
        <w:rPr>
          <w:rFonts w:hint="eastAsia" w:ascii="宋体" w:hAnsi="宋体" w:cs="宋体"/>
          <w:color w:val="auto"/>
          <w:szCs w:val="21"/>
          <w:u w:val="single"/>
          <w:lang w:val="en-US" w:eastAsia="zh-CN"/>
        </w:rPr>
        <w:t>按工程量清单施工</w:t>
      </w:r>
      <w:r>
        <w:rPr>
          <w:rFonts w:hint="eastAsia" w:ascii="宋体" w:hAnsi="宋体" w:eastAsia="宋体" w:cs="宋体"/>
          <w:color w:val="auto"/>
          <w:szCs w:val="21"/>
          <w:u w:val="none"/>
        </w:rPr>
        <w:t>。</w:t>
      </w:r>
    </w:p>
    <w:p w14:paraId="7A3CB53C">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bCs/>
          <w:color w:val="auto"/>
          <w:szCs w:val="21"/>
        </w:rPr>
        <w:t>6.工程承包范围：</w:t>
      </w:r>
      <w:r>
        <w:rPr>
          <w:rFonts w:hint="eastAsia" w:ascii="宋体" w:hAnsi="宋体" w:eastAsia="宋体" w:cs="宋体"/>
          <w:color w:val="auto"/>
          <w:szCs w:val="21"/>
          <w:u w:val="single"/>
        </w:rPr>
        <w:t>工程量清单范围内的所有施工，直至竣工验收合格、工程保修期内的缺陷修复</w:t>
      </w:r>
      <w:r>
        <w:rPr>
          <w:rFonts w:hint="eastAsia" w:ascii="宋体" w:hAnsi="宋体" w:eastAsia="宋体" w:cs="宋体"/>
          <w:color w:val="auto"/>
          <w:szCs w:val="21"/>
        </w:rPr>
        <w:t>。</w:t>
      </w:r>
    </w:p>
    <w:p w14:paraId="699F0ABB">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7" w:name="_Toc26668"/>
      <w:bookmarkStart w:id="8" w:name="_Toc22405"/>
      <w:bookmarkStart w:id="9" w:name="_Toc4121"/>
      <w:bookmarkStart w:id="10" w:name="_Toc17362"/>
      <w:bookmarkStart w:id="11" w:name="_Toc19699"/>
      <w:r>
        <w:rPr>
          <w:rFonts w:hint="eastAsia" w:ascii="宋体" w:hAnsi="宋体" w:eastAsia="宋体" w:cs="宋体"/>
          <w:b/>
          <w:bCs/>
          <w:color w:val="auto"/>
          <w:szCs w:val="21"/>
        </w:rPr>
        <w:t>二、合同工期</w:t>
      </w:r>
      <w:bookmarkEnd w:id="7"/>
      <w:bookmarkEnd w:id="8"/>
      <w:bookmarkEnd w:id="9"/>
      <w:bookmarkEnd w:id="10"/>
      <w:bookmarkEnd w:id="11"/>
    </w:p>
    <w:p w14:paraId="2197999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计划开工日期：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1C7B75C8">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计划竣工日期：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686E13CB">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工期总日历天数：</w:t>
      </w:r>
      <w:r>
        <w:rPr>
          <w:rFonts w:hint="eastAsia" w:ascii="宋体" w:hAnsi="宋体" w:cs="宋体"/>
          <w:bCs/>
          <w:color w:val="auto"/>
          <w:szCs w:val="21"/>
          <w:u w:val="single"/>
          <w:lang w:val="en-US" w:eastAsia="zh-CN"/>
        </w:rPr>
        <w:t>60</w:t>
      </w:r>
      <w:r>
        <w:rPr>
          <w:rFonts w:hint="eastAsia" w:ascii="宋体" w:hAnsi="宋体" w:eastAsia="宋体" w:cs="宋体"/>
          <w:bCs/>
          <w:color w:val="auto"/>
          <w:szCs w:val="21"/>
        </w:rPr>
        <w:t>天。工期总天数与根据前述计划开竣工日期计算的工期天数不一致的，以工期总天数为准。</w:t>
      </w:r>
    </w:p>
    <w:p w14:paraId="3AAB110D">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2" w:name="_Toc7411"/>
      <w:bookmarkStart w:id="13" w:name="_Toc20946"/>
      <w:bookmarkStart w:id="14" w:name="_Toc30756"/>
      <w:bookmarkStart w:id="15" w:name="_Toc17214"/>
      <w:bookmarkStart w:id="16" w:name="_Toc4900"/>
      <w:r>
        <w:rPr>
          <w:rFonts w:hint="eastAsia" w:ascii="宋体" w:hAnsi="宋体" w:eastAsia="宋体" w:cs="宋体"/>
          <w:b/>
          <w:bCs/>
          <w:color w:val="auto"/>
          <w:szCs w:val="21"/>
        </w:rPr>
        <w:t>三、质量标准</w:t>
      </w:r>
      <w:bookmarkEnd w:id="12"/>
      <w:bookmarkEnd w:id="13"/>
      <w:bookmarkEnd w:id="14"/>
      <w:bookmarkEnd w:id="15"/>
      <w:bookmarkEnd w:id="16"/>
    </w:p>
    <w:p w14:paraId="1F5A30D1">
      <w:pPr>
        <w:adjustRightInd w:val="0"/>
        <w:snapToGrid w:val="0"/>
        <w:spacing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rPr>
        <w:t>工程质量标准</w:t>
      </w:r>
      <w:r>
        <w:rPr>
          <w:rFonts w:hint="eastAsia" w:ascii="宋体" w:hAnsi="宋体" w:eastAsia="宋体" w:cs="宋体"/>
          <w:bCs/>
          <w:color w:val="auto"/>
          <w:szCs w:val="21"/>
          <w:u w:val="none"/>
        </w:rPr>
        <w:t>：</w:t>
      </w:r>
      <w:r>
        <w:rPr>
          <w:rFonts w:hint="eastAsia" w:ascii="宋体" w:hAnsi="宋体" w:eastAsia="宋体" w:cs="宋体"/>
          <w:bCs/>
          <w:color w:val="auto"/>
          <w:szCs w:val="21"/>
          <w:u w:val="single"/>
        </w:rPr>
        <w:t>符合国家及行业质量验收“合格”标准</w:t>
      </w:r>
      <w:r>
        <w:rPr>
          <w:rFonts w:hint="eastAsia" w:ascii="宋体" w:hAnsi="宋体" w:cs="宋体"/>
          <w:bCs/>
          <w:color w:val="auto"/>
          <w:szCs w:val="21"/>
          <w:u w:val="single"/>
          <w:lang w:eastAsia="zh-CN"/>
        </w:rPr>
        <w:t>。</w:t>
      </w:r>
    </w:p>
    <w:p w14:paraId="60903509">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7" w:name="_Toc30225"/>
      <w:bookmarkStart w:id="18" w:name="_Toc29265"/>
      <w:bookmarkStart w:id="19" w:name="_Toc30676"/>
      <w:bookmarkStart w:id="20" w:name="_Toc22764"/>
      <w:bookmarkStart w:id="21" w:name="_Toc3362"/>
      <w:r>
        <w:rPr>
          <w:rFonts w:hint="eastAsia" w:ascii="宋体" w:hAnsi="宋体" w:eastAsia="宋体" w:cs="宋体"/>
          <w:b/>
          <w:bCs/>
          <w:color w:val="auto"/>
          <w:szCs w:val="21"/>
        </w:rPr>
        <w:t>四、签约合同价与合同价格形式</w:t>
      </w:r>
      <w:bookmarkEnd w:id="17"/>
      <w:bookmarkEnd w:id="18"/>
      <w:bookmarkEnd w:id="19"/>
      <w:bookmarkEnd w:id="20"/>
      <w:bookmarkEnd w:id="21"/>
      <w:r>
        <w:rPr>
          <w:rFonts w:hint="eastAsia" w:ascii="宋体" w:hAnsi="宋体" w:eastAsia="宋体" w:cs="宋体"/>
          <w:b/>
          <w:bCs/>
          <w:color w:val="auto"/>
          <w:szCs w:val="21"/>
        </w:rPr>
        <w:tab/>
      </w:r>
    </w:p>
    <w:p w14:paraId="3F5F544D">
      <w:pPr>
        <w:autoSpaceDE w:val="0"/>
        <w:autoSpaceDN w:val="0"/>
        <w:adjustRightInd w:val="0"/>
        <w:snapToGrid w:val="0"/>
        <w:spacing w:line="360" w:lineRule="auto"/>
        <w:ind w:firstLine="420" w:firstLineChars="200"/>
        <w:rPr>
          <w:rFonts w:ascii="宋体" w:hAnsi="宋体" w:eastAsia="宋体" w:cs="宋体"/>
          <w:color w:val="auto"/>
          <w:szCs w:val="21"/>
        </w:rPr>
      </w:pPr>
      <w:bookmarkStart w:id="22" w:name="_Toc29021"/>
      <w:bookmarkStart w:id="23" w:name="_Toc780"/>
      <w:bookmarkStart w:id="24" w:name="_Toc15304"/>
      <w:bookmarkStart w:id="25" w:name="_Toc1022"/>
      <w:bookmarkStart w:id="26" w:name="_Toc11535"/>
      <w:r>
        <w:rPr>
          <w:rFonts w:hint="eastAsia" w:ascii="宋体" w:hAnsi="宋体" w:eastAsia="宋体" w:cs="宋体"/>
          <w:color w:val="auto"/>
          <w:szCs w:val="21"/>
        </w:rPr>
        <w:t>1.签约合同价为：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5AF38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其中：</w:t>
      </w:r>
    </w:p>
    <w:p w14:paraId="4AF8F2E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(1)安全文明施工费：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55DAF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(2)材料和工程设备暂估价金额：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09429B1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(3)专业工程暂估价金额：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67BB25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(4)暂列金额：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750510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2.合同价格形式：</w:t>
      </w:r>
      <w:r>
        <w:rPr>
          <w:rFonts w:hint="eastAsia" w:ascii="宋体" w:hAnsi="宋体" w:eastAsia="宋体" w:cs="宋体"/>
          <w:color w:val="auto"/>
          <w:szCs w:val="21"/>
          <w:u w:val="single"/>
        </w:rPr>
        <w:t>固定总价合同</w:t>
      </w:r>
      <w:r>
        <w:rPr>
          <w:rFonts w:hint="eastAsia" w:ascii="宋体" w:hAnsi="宋体" w:eastAsia="宋体" w:cs="宋体"/>
          <w:color w:val="auto"/>
          <w:szCs w:val="21"/>
        </w:rPr>
        <w:t>。</w:t>
      </w:r>
    </w:p>
    <w:p w14:paraId="6E96FD21">
      <w:pPr>
        <w:keepNext/>
        <w:keepLines/>
        <w:adjustRightInd w:val="0"/>
        <w:snapToGrid w:val="0"/>
        <w:spacing w:line="360" w:lineRule="auto"/>
        <w:ind w:firstLine="422" w:firstLineChars="200"/>
        <w:outlineLvl w:val="2"/>
        <w:rPr>
          <w:rFonts w:ascii="宋体" w:hAnsi="宋体" w:eastAsia="宋体" w:cs="宋体"/>
          <w:b/>
          <w:bCs/>
          <w:color w:val="auto"/>
          <w:szCs w:val="21"/>
        </w:rPr>
      </w:pPr>
      <w:r>
        <w:rPr>
          <w:rFonts w:hint="eastAsia" w:ascii="宋体" w:hAnsi="宋体" w:eastAsia="宋体" w:cs="宋体"/>
          <w:b/>
          <w:bCs/>
          <w:color w:val="auto"/>
          <w:szCs w:val="21"/>
        </w:rPr>
        <w:t>五、项目经理</w:t>
      </w:r>
      <w:bookmarkEnd w:id="22"/>
      <w:bookmarkEnd w:id="23"/>
      <w:bookmarkEnd w:id="24"/>
      <w:bookmarkEnd w:id="25"/>
      <w:bookmarkEnd w:id="26"/>
    </w:p>
    <w:p w14:paraId="17FA10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承包人项目经理：</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918BFFE">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7" w:name="_Toc26202"/>
      <w:bookmarkStart w:id="28" w:name="_Toc17761"/>
      <w:bookmarkStart w:id="29" w:name="_Toc23103"/>
      <w:bookmarkStart w:id="30" w:name="_Toc20615"/>
      <w:bookmarkStart w:id="31" w:name="_Toc7629"/>
      <w:r>
        <w:rPr>
          <w:rFonts w:hint="eastAsia" w:ascii="宋体" w:hAnsi="宋体" w:eastAsia="宋体" w:cs="宋体"/>
          <w:b/>
          <w:bCs/>
          <w:color w:val="auto"/>
          <w:szCs w:val="21"/>
        </w:rPr>
        <w:t>六、合同文件构成</w:t>
      </w:r>
      <w:bookmarkEnd w:id="27"/>
      <w:bookmarkEnd w:id="28"/>
      <w:bookmarkEnd w:id="29"/>
      <w:bookmarkEnd w:id="30"/>
      <w:bookmarkEnd w:id="31"/>
    </w:p>
    <w:p w14:paraId="1A062E8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本协议书与下列文件一起构成合同文件：</w:t>
      </w:r>
    </w:p>
    <w:p w14:paraId="340521B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（1）中标通知书（如有）；</w:t>
      </w:r>
    </w:p>
    <w:p w14:paraId="1EAEFF0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（2）投标函及其附录（如有）； </w:t>
      </w:r>
    </w:p>
    <w:p w14:paraId="5F9E74D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（3）专用合同条款及其附件；</w:t>
      </w:r>
    </w:p>
    <w:p w14:paraId="2D72A92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（4）通用合同条款；</w:t>
      </w:r>
    </w:p>
    <w:p w14:paraId="19C9E2D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（5）技术标准和要求；</w:t>
      </w:r>
    </w:p>
    <w:p w14:paraId="68381AE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（6）图纸；</w:t>
      </w:r>
    </w:p>
    <w:p w14:paraId="2B81DC6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（7）已标价工程量清单；</w:t>
      </w:r>
    </w:p>
    <w:p w14:paraId="40C63E2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（8）其他合同文件。</w:t>
      </w:r>
    </w:p>
    <w:p w14:paraId="5F25370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在合同订立及履行过程中形成的与合同有关的文件均构成合同文件组成部分。</w:t>
      </w:r>
    </w:p>
    <w:p w14:paraId="3E9BDEE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65F2BE1B">
      <w:pPr>
        <w:autoSpaceDE w:val="0"/>
        <w:autoSpaceDN w:val="0"/>
        <w:adjustRightInd w:val="0"/>
        <w:snapToGrid w:val="0"/>
        <w:spacing w:line="360" w:lineRule="auto"/>
        <w:ind w:firstLine="422" w:firstLineChars="200"/>
        <w:outlineLvl w:val="2"/>
        <w:rPr>
          <w:rFonts w:ascii="宋体" w:hAnsi="宋体" w:eastAsia="宋体" w:cs="宋体"/>
          <w:color w:val="auto"/>
          <w:szCs w:val="21"/>
        </w:rPr>
      </w:pPr>
      <w:bookmarkStart w:id="32" w:name="_Toc10996"/>
      <w:bookmarkStart w:id="33" w:name="_Toc379"/>
      <w:bookmarkStart w:id="34" w:name="_Toc12477"/>
      <w:bookmarkStart w:id="35" w:name="_Toc13768"/>
      <w:bookmarkStart w:id="36" w:name="_Toc11039"/>
      <w:r>
        <w:rPr>
          <w:rFonts w:hint="eastAsia" w:ascii="宋体" w:hAnsi="宋体" w:eastAsia="宋体" w:cs="宋体"/>
          <w:b/>
          <w:bCs/>
          <w:color w:val="auto"/>
          <w:szCs w:val="21"/>
        </w:rPr>
        <w:t>七、承诺</w:t>
      </w:r>
      <w:bookmarkEnd w:id="32"/>
      <w:bookmarkEnd w:id="33"/>
      <w:bookmarkEnd w:id="34"/>
      <w:bookmarkEnd w:id="35"/>
      <w:bookmarkEnd w:id="36"/>
    </w:p>
    <w:p w14:paraId="4708B684">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1.发包人承诺按照法律规定履行项目审批手续、筹集工程建设资金并按照合同约定的期限和方式支付合同价款。</w:t>
      </w:r>
    </w:p>
    <w:p w14:paraId="417B4C2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2.承包人承诺按照法律规定及合同约定组织完成工程施工，确保工程质量和安全，不进行转包及违法分包，并在缺陷责任期及保修期内承担相应的工程维修责任。</w:t>
      </w:r>
    </w:p>
    <w:p w14:paraId="6BF68F40">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3.发包人和承包人通过招投标形式签订合同的，双方理解并承诺不再就同一工程另行签订与合同实质性内容相背离的协议。</w:t>
      </w:r>
    </w:p>
    <w:p w14:paraId="67CBB5B5">
      <w:pPr>
        <w:adjustRightInd w:val="0"/>
        <w:snapToGrid w:val="0"/>
        <w:spacing w:line="360" w:lineRule="auto"/>
        <w:ind w:firstLine="422" w:firstLineChars="200"/>
        <w:outlineLvl w:val="2"/>
        <w:rPr>
          <w:rFonts w:ascii="宋体" w:hAnsi="宋体" w:eastAsia="宋体" w:cs="宋体"/>
          <w:bCs/>
          <w:color w:val="auto"/>
          <w:szCs w:val="21"/>
        </w:rPr>
      </w:pPr>
      <w:bookmarkStart w:id="37" w:name="_Toc12156"/>
      <w:bookmarkStart w:id="38" w:name="_Toc16892"/>
      <w:bookmarkStart w:id="39" w:name="_Toc13147"/>
      <w:bookmarkStart w:id="40" w:name="_Toc18219"/>
      <w:bookmarkStart w:id="41" w:name="_Toc7963"/>
      <w:r>
        <w:rPr>
          <w:rFonts w:hint="eastAsia" w:ascii="宋体" w:hAnsi="宋体" w:eastAsia="宋体" w:cs="宋体"/>
          <w:b/>
          <w:bCs/>
          <w:color w:val="auto"/>
          <w:szCs w:val="21"/>
        </w:rPr>
        <w:t>八、词语含义</w:t>
      </w:r>
      <w:bookmarkEnd w:id="37"/>
      <w:bookmarkEnd w:id="38"/>
      <w:bookmarkEnd w:id="39"/>
      <w:bookmarkEnd w:id="40"/>
      <w:bookmarkEnd w:id="41"/>
    </w:p>
    <w:p w14:paraId="20EF904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本协议书中词语含义与第二部分通用合同条款中赋予的含义相同。</w:t>
      </w:r>
    </w:p>
    <w:p w14:paraId="6E626EA3">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42" w:name="_Toc11314"/>
      <w:bookmarkStart w:id="43" w:name="_Toc11409"/>
      <w:bookmarkStart w:id="44" w:name="_Toc3009"/>
      <w:bookmarkStart w:id="45" w:name="_Toc23763"/>
      <w:bookmarkStart w:id="46" w:name="_Toc2587"/>
      <w:r>
        <w:rPr>
          <w:rFonts w:hint="eastAsia" w:ascii="宋体" w:hAnsi="宋体" w:eastAsia="宋体" w:cs="宋体"/>
          <w:b/>
          <w:bCs/>
          <w:color w:val="auto"/>
          <w:szCs w:val="21"/>
        </w:rPr>
        <w:t>九、签订时间</w:t>
      </w:r>
      <w:bookmarkEnd w:id="42"/>
      <w:bookmarkEnd w:id="43"/>
      <w:bookmarkEnd w:id="44"/>
      <w:bookmarkEnd w:id="45"/>
      <w:bookmarkEnd w:id="46"/>
    </w:p>
    <w:p w14:paraId="42BFB99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本合同于</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日签订。</w:t>
      </w:r>
    </w:p>
    <w:p w14:paraId="6ACE694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47" w:name="_Toc11466"/>
      <w:bookmarkStart w:id="48" w:name="_Toc15626"/>
      <w:bookmarkStart w:id="49" w:name="_Toc11182"/>
      <w:bookmarkStart w:id="50" w:name="_Toc18987"/>
      <w:bookmarkStart w:id="51" w:name="_Toc295"/>
      <w:r>
        <w:rPr>
          <w:rFonts w:hint="eastAsia" w:ascii="宋体" w:hAnsi="宋体" w:eastAsia="宋体" w:cs="宋体"/>
          <w:b/>
          <w:color w:val="auto"/>
          <w:szCs w:val="21"/>
        </w:rPr>
        <w:t>十、签订地点</w:t>
      </w:r>
      <w:bookmarkEnd w:id="47"/>
      <w:bookmarkEnd w:id="48"/>
      <w:bookmarkEnd w:id="49"/>
      <w:bookmarkEnd w:id="50"/>
      <w:bookmarkEnd w:id="51"/>
    </w:p>
    <w:p w14:paraId="3D7433A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本合同在</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签订。</w:t>
      </w:r>
    </w:p>
    <w:p w14:paraId="121DDF3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2" w:name="_Toc23573"/>
      <w:bookmarkStart w:id="53" w:name="_Toc25117"/>
      <w:bookmarkStart w:id="54" w:name="_Toc8907"/>
      <w:bookmarkStart w:id="55" w:name="_Toc26708"/>
      <w:bookmarkStart w:id="56" w:name="_Toc11777"/>
      <w:r>
        <w:rPr>
          <w:rFonts w:hint="eastAsia" w:ascii="宋体" w:hAnsi="宋体" w:eastAsia="宋体" w:cs="宋体"/>
          <w:b/>
          <w:color w:val="auto"/>
          <w:szCs w:val="21"/>
        </w:rPr>
        <w:t>十一、补充协议</w:t>
      </w:r>
      <w:bookmarkEnd w:id="52"/>
      <w:bookmarkEnd w:id="53"/>
      <w:bookmarkEnd w:id="54"/>
      <w:bookmarkEnd w:id="55"/>
      <w:bookmarkEnd w:id="56"/>
    </w:p>
    <w:p w14:paraId="42B1233A">
      <w:pPr>
        <w:adjustRightInd w:val="0"/>
        <w:snapToGrid w:val="0"/>
        <w:spacing w:line="360" w:lineRule="auto"/>
        <w:ind w:firstLine="420" w:firstLineChars="200"/>
        <w:rPr>
          <w:rFonts w:ascii="宋体" w:hAnsi="宋体" w:eastAsia="宋体" w:cs="宋体"/>
          <w:b/>
          <w:bCs/>
          <w:color w:val="auto"/>
          <w:szCs w:val="21"/>
        </w:rPr>
      </w:pPr>
      <w:r>
        <w:rPr>
          <w:rFonts w:hint="eastAsia" w:ascii="宋体" w:hAnsi="宋体" w:eastAsia="宋体" w:cs="宋体"/>
          <w:bCs/>
          <w:color w:val="auto"/>
          <w:szCs w:val="21"/>
        </w:rPr>
        <w:t>合同未尽事宜，合同当事人另行签订补充协议，补充协议是合同的组成部分，与本协议具有同等的法律效力。</w:t>
      </w:r>
    </w:p>
    <w:p w14:paraId="065F6799">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7" w:name="_Toc23871"/>
      <w:bookmarkStart w:id="58" w:name="_Toc1859"/>
      <w:bookmarkStart w:id="59" w:name="_Toc20670"/>
      <w:bookmarkStart w:id="60" w:name="_Toc16440"/>
      <w:bookmarkStart w:id="61" w:name="_Toc27806"/>
      <w:r>
        <w:rPr>
          <w:rFonts w:hint="eastAsia" w:ascii="宋体" w:hAnsi="宋体" w:eastAsia="宋体" w:cs="宋体"/>
          <w:b/>
          <w:color w:val="auto"/>
          <w:szCs w:val="21"/>
        </w:rPr>
        <w:t>十二、合同生效</w:t>
      </w:r>
      <w:bookmarkEnd w:id="57"/>
      <w:bookmarkEnd w:id="58"/>
      <w:bookmarkEnd w:id="59"/>
      <w:bookmarkEnd w:id="60"/>
      <w:bookmarkEnd w:id="61"/>
    </w:p>
    <w:p w14:paraId="38717991">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本合同自</w:t>
      </w:r>
      <w:r>
        <w:rPr>
          <w:rFonts w:hint="eastAsia" w:ascii="宋体" w:hAnsi="宋体" w:cs="宋体"/>
          <w:bCs/>
          <w:color w:val="auto"/>
          <w:szCs w:val="21"/>
          <w:u w:val="single"/>
          <w:lang w:val="en-US" w:eastAsia="zh-CN"/>
        </w:rPr>
        <w:t xml:space="preserve"> </w:t>
      </w:r>
      <w:r>
        <w:rPr>
          <w:rFonts w:hint="eastAsia" w:ascii="宋体" w:hAnsi="宋体" w:eastAsia="宋体" w:cs="宋体"/>
          <w:bCs/>
          <w:color w:val="auto"/>
          <w:szCs w:val="21"/>
          <w:u w:val="single"/>
        </w:rPr>
        <w:t xml:space="preserve">双方签字盖章之日起 </w:t>
      </w:r>
      <w:r>
        <w:rPr>
          <w:rFonts w:hint="eastAsia" w:ascii="宋体" w:hAnsi="宋体" w:eastAsia="宋体" w:cs="宋体"/>
          <w:bCs/>
          <w:color w:val="auto"/>
          <w:szCs w:val="21"/>
        </w:rPr>
        <w:t>生效。</w:t>
      </w:r>
    </w:p>
    <w:p w14:paraId="61F826E5">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62" w:name="_Toc3832"/>
      <w:bookmarkStart w:id="63" w:name="_Toc14463"/>
      <w:bookmarkStart w:id="64" w:name="_Toc32058"/>
      <w:bookmarkStart w:id="65" w:name="_Toc8476"/>
      <w:bookmarkStart w:id="66" w:name="_Toc23231"/>
      <w:r>
        <w:rPr>
          <w:rFonts w:hint="eastAsia" w:ascii="宋体" w:hAnsi="宋体" w:eastAsia="宋体" w:cs="宋体"/>
          <w:b/>
          <w:color w:val="auto"/>
          <w:szCs w:val="21"/>
        </w:rPr>
        <w:t>十三、合同份数</w:t>
      </w:r>
      <w:bookmarkEnd w:id="62"/>
      <w:bookmarkEnd w:id="63"/>
      <w:bookmarkEnd w:id="64"/>
      <w:bookmarkEnd w:id="65"/>
      <w:bookmarkEnd w:id="66"/>
    </w:p>
    <w:p w14:paraId="4F63091F">
      <w:pPr>
        <w:adjustRightInd w:val="0"/>
        <w:snapToGrid w:val="0"/>
        <w:spacing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本合同一式</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份，均具有同等法律效力，发包人执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份，承包人执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w:t>
      </w:r>
    </w:p>
    <w:p w14:paraId="1038EAE3">
      <w:pPr>
        <w:adjustRightInd w:val="0"/>
        <w:snapToGrid w:val="0"/>
        <w:spacing w:line="360" w:lineRule="auto"/>
        <w:ind w:firstLine="420" w:firstLineChars="200"/>
        <w:rPr>
          <w:rFonts w:hint="eastAsia" w:ascii="宋体" w:hAnsi="宋体" w:eastAsia="宋体" w:cs="宋体"/>
          <w:bCs/>
          <w:color w:val="auto"/>
          <w:szCs w:val="21"/>
        </w:rPr>
      </w:pPr>
    </w:p>
    <w:p w14:paraId="46AE76C9">
      <w:pPr>
        <w:rPr>
          <w:rFonts w:hint="eastAsia" w:ascii="宋体" w:hAnsi="宋体" w:eastAsia="宋体" w:cs="宋体"/>
          <w:bCs/>
          <w:color w:val="auto"/>
          <w:szCs w:val="21"/>
        </w:rPr>
      </w:pPr>
      <w:r>
        <w:rPr>
          <w:rFonts w:hint="eastAsia" w:ascii="宋体" w:hAnsi="宋体" w:eastAsia="宋体" w:cs="宋体"/>
          <w:bCs/>
          <w:color w:val="auto"/>
          <w:szCs w:val="21"/>
        </w:rPr>
        <w:br w:type="page"/>
      </w:r>
    </w:p>
    <w:p w14:paraId="1483436F">
      <w:pPr>
        <w:adjustRightInd w:val="0"/>
        <w:snapToGrid w:val="0"/>
        <w:spacing w:line="360" w:lineRule="auto"/>
        <w:ind w:firstLine="420" w:firstLineChars="200"/>
        <w:rPr>
          <w:rFonts w:hint="eastAsia" w:ascii="宋体" w:hAnsi="宋体" w:eastAsia="宋体" w:cs="宋体"/>
          <w:bCs/>
          <w:color w:val="auto"/>
          <w:szCs w:val="21"/>
        </w:rPr>
      </w:pPr>
    </w:p>
    <w:tbl>
      <w:tblPr>
        <w:tblStyle w:val="14"/>
        <w:tblpPr w:leftFromText="180" w:rightFromText="180" w:vertAnchor="text" w:horzAnchor="page" w:tblpX="1585" w:tblpY="520"/>
        <w:tblOverlap w:val="never"/>
        <w:tblW w:w="9040" w:type="dxa"/>
        <w:tblInd w:w="0" w:type="dxa"/>
        <w:tblLayout w:type="autofit"/>
        <w:tblCellMar>
          <w:top w:w="0" w:type="dxa"/>
          <w:left w:w="108" w:type="dxa"/>
          <w:bottom w:w="0" w:type="dxa"/>
          <w:right w:w="108" w:type="dxa"/>
        </w:tblCellMar>
      </w:tblPr>
      <w:tblGrid>
        <w:gridCol w:w="4520"/>
        <w:gridCol w:w="4520"/>
      </w:tblGrid>
      <w:tr w14:paraId="15BB08EE">
        <w:tblPrEx>
          <w:tblCellMar>
            <w:top w:w="0" w:type="dxa"/>
            <w:left w:w="108" w:type="dxa"/>
            <w:bottom w:w="0" w:type="dxa"/>
            <w:right w:w="108" w:type="dxa"/>
          </w:tblCellMar>
        </w:tblPrEx>
        <w:trPr>
          <w:trHeight w:val="878" w:hRule="atLeast"/>
        </w:trPr>
        <w:tc>
          <w:tcPr>
            <w:tcW w:w="4520" w:type="dxa"/>
          </w:tcPr>
          <w:p w14:paraId="41FB6B61">
            <w:pPr>
              <w:autoSpaceDE w:val="0"/>
              <w:autoSpaceDN w:val="0"/>
              <w:adjustRightInd w:val="0"/>
              <w:spacing w:line="360" w:lineRule="auto"/>
              <w:rPr>
                <w:rFonts w:ascii="宋体" w:hAnsi="宋体" w:eastAsia="宋体" w:cs="宋体"/>
                <w:color w:val="auto"/>
                <w:sz w:val="24"/>
              </w:rPr>
            </w:pPr>
            <w:bookmarkStart w:id="67" w:name="_Toc14882"/>
            <w:bookmarkStart w:id="68" w:name="_Toc22393"/>
            <w:bookmarkStart w:id="69" w:name="_Toc25458"/>
            <w:bookmarkStart w:id="70" w:name="_Toc29776"/>
            <w:bookmarkStart w:id="71" w:name="_Toc31561"/>
            <w:bookmarkStart w:id="72" w:name="_Toc351203494"/>
            <w:r>
              <w:rPr>
                <w:rFonts w:hint="eastAsia" w:ascii="宋体" w:hAnsi="宋体" w:eastAsia="宋体" w:cs="宋体"/>
                <w:color w:val="auto"/>
                <w:sz w:val="24"/>
              </w:rPr>
              <w:t>发包人：(盖章)</w:t>
            </w:r>
          </w:p>
        </w:tc>
        <w:tc>
          <w:tcPr>
            <w:tcW w:w="4520" w:type="dxa"/>
          </w:tcPr>
          <w:p w14:paraId="1C803E3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承包人：(盖章)</w:t>
            </w:r>
          </w:p>
        </w:tc>
      </w:tr>
      <w:tr w14:paraId="60A55A56">
        <w:tblPrEx>
          <w:tblCellMar>
            <w:top w:w="0" w:type="dxa"/>
            <w:left w:w="108" w:type="dxa"/>
            <w:bottom w:w="0" w:type="dxa"/>
            <w:right w:w="108" w:type="dxa"/>
          </w:tblCellMar>
        </w:tblPrEx>
        <w:trPr>
          <w:trHeight w:val="511" w:hRule="atLeast"/>
        </w:trPr>
        <w:tc>
          <w:tcPr>
            <w:tcW w:w="4520" w:type="dxa"/>
          </w:tcPr>
          <w:p w14:paraId="7027259C">
            <w:pPr>
              <w:autoSpaceDE w:val="0"/>
              <w:autoSpaceDN w:val="0"/>
              <w:adjustRightInd w:val="0"/>
              <w:spacing w:line="360" w:lineRule="auto"/>
              <w:rPr>
                <w:rFonts w:ascii="宋体" w:hAnsi="宋体" w:eastAsia="宋体" w:cs="宋体"/>
                <w:color w:val="auto"/>
                <w:sz w:val="24"/>
              </w:rPr>
            </w:pPr>
          </w:p>
        </w:tc>
        <w:tc>
          <w:tcPr>
            <w:tcW w:w="4520" w:type="dxa"/>
          </w:tcPr>
          <w:p w14:paraId="4871A9B1">
            <w:pPr>
              <w:autoSpaceDE w:val="0"/>
              <w:autoSpaceDN w:val="0"/>
              <w:adjustRightInd w:val="0"/>
              <w:spacing w:line="360" w:lineRule="auto"/>
              <w:rPr>
                <w:rFonts w:ascii="宋体" w:hAnsi="宋体" w:eastAsia="宋体" w:cs="宋体"/>
                <w:color w:val="auto"/>
                <w:sz w:val="24"/>
              </w:rPr>
            </w:pPr>
          </w:p>
        </w:tc>
      </w:tr>
      <w:tr w14:paraId="349AC03E">
        <w:tblPrEx>
          <w:tblCellMar>
            <w:top w:w="0" w:type="dxa"/>
            <w:left w:w="108" w:type="dxa"/>
            <w:bottom w:w="0" w:type="dxa"/>
            <w:right w:w="108" w:type="dxa"/>
          </w:tblCellMar>
        </w:tblPrEx>
        <w:trPr>
          <w:trHeight w:val="757" w:hRule="atLeast"/>
        </w:trPr>
        <w:tc>
          <w:tcPr>
            <w:tcW w:w="4520" w:type="dxa"/>
          </w:tcPr>
          <w:p w14:paraId="440D831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c>
          <w:tcPr>
            <w:tcW w:w="4520" w:type="dxa"/>
          </w:tcPr>
          <w:p w14:paraId="4F2F637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r>
      <w:tr w14:paraId="66AEC3BD">
        <w:tblPrEx>
          <w:tblCellMar>
            <w:top w:w="0" w:type="dxa"/>
            <w:left w:w="108" w:type="dxa"/>
            <w:bottom w:w="0" w:type="dxa"/>
            <w:right w:w="108" w:type="dxa"/>
          </w:tblCellMar>
        </w:tblPrEx>
        <w:trPr>
          <w:trHeight w:val="739" w:hRule="atLeast"/>
        </w:trPr>
        <w:tc>
          <w:tcPr>
            <w:tcW w:w="4520" w:type="dxa"/>
          </w:tcPr>
          <w:p w14:paraId="074387B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c>
          <w:tcPr>
            <w:tcW w:w="4520" w:type="dxa"/>
          </w:tcPr>
          <w:p w14:paraId="5FE5BD32">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r>
      <w:tr w14:paraId="14722DD3">
        <w:tblPrEx>
          <w:tblCellMar>
            <w:top w:w="0" w:type="dxa"/>
            <w:left w:w="108" w:type="dxa"/>
            <w:bottom w:w="0" w:type="dxa"/>
            <w:right w:w="108" w:type="dxa"/>
          </w:tblCellMar>
        </w:tblPrEx>
        <w:trPr>
          <w:trHeight w:val="1010" w:hRule="atLeast"/>
        </w:trPr>
        <w:tc>
          <w:tcPr>
            <w:tcW w:w="4520" w:type="dxa"/>
          </w:tcPr>
          <w:p w14:paraId="0A94F7A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c>
          <w:tcPr>
            <w:tcW w:w="4520" w:type="dxa"/>
          </w:tcPr>
          <w:p w14:paraId="51AE0E3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r>
      <w:tr w14:paraId="6DD9A331">
        <w:tblPrEx>
          <w:tblCellMar>
            <w:top w:w="0" w:type="dxa"/>
            <w:left w:w="108" w:type="dxa"/>
            <w:bottom w:w="0" w:type="dxa"/>
            <w:right w:w="108" w:type="dxa"/>
          </w:tblCellMar>
        </w:tblPrEx>
        <w:trPr>
          <w:trHeight w:val="1010" w:hRule="atLeast"/>
        </w:trPr>
        <w:tc>
          <w:tcPr>
            <w:tcW w:w="4520" w:type="dxa"/>
          </w:tcPr>
          <w:p w14:paraId="4DAACFC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c>
          <w:tcPr>
            <w:tcW w:w="4520" w:type="dxa"/>
          </w:tcPr>
          <w:p w14:paraId="04D40B2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r>
      <w:tr w14:paraId="5AF49F15">
        <w:tblPrEx>
          <w:tblCellMar>
            <w:top w:w="0" w:type="dxa"/>
            <w:left w:w="108" w:type="dxa"/>
            <w:bottom w:w="0" w:type="dxa"/>
            <w:right w:w="108" w:type="dxa"/>
          </w:tblCellMar>
        </w:tblPrEx>
        <w:trPr>
          <w:trHeight w:val="511" w:hRule="atLeast"/>
        </w:trPr>
        <w:tc>
          <w:tcPr>
            <w:tcW w:w="4520" w:type="dxa"/>
          </w:tcPr>
          <w:p w14:paraId="53EA1BA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c>
          <w:tcPr>
            <w:tcW w:w="4520" w:type="dxa"/>
          </w:tcPr>
          <w:p w14:paraId="4711D3D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r>
      <w:tr w14:paraId="1265C1AB">
        <w:tblPrEx>
          <w:tblCellMar>
            <w:top w:w="0" w:type="dxa"/>
            <w:left w:w="108" w:type="dxa"/>
            <w:bottom w:w="0" w:type="dxa"/>
            <w:right w:w="108" w:type="dxa"/>
          </w:tblCellMar>
        </w:tblPrEx>
        <w:trPr>
          <w:trHeight w:val="511" w:hRule="atLeast"/>
        </w:trPr>
        <w:tc>
          <w:tcPr>
            <w:tcW w:w="4520" w:type="dxa"/>
          </w:tcPr>
          <w:p w14:paraId="77508F0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c>
          <w:tcPr>
            <w:tcW w:w="4520" w:type="dxa"/>
          </w:tcPr>
          <w:p w14:paraId="0063004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r>
      <w:tr w14:paraId="7ABA4FA3">
        <w:tblPrEx>
          <w:tblCellMar>
            <w:top w:w="0" w:type="dxa"/>
            <w:left w:w="108" w:type="dxa"/>
            <w:bottom w:w="0" w:type="dxa"/>
            <w:right w:w="108" w:type="dxa"/>
          </w:tblCellMar>
        </w:tblPrEx>
        <w:trPr>
          <w:trHeight w:val="511" w:hRule="atLeast"/>
        </w:trPr>
        <w:tc>
          <w:tcPr>
            <w:tcW w:w="4520" w:type="dxa"/>
          </w:tcPr>
          <w:p w14:paraId="7E16CDD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c>
          <w:tcPr>
            <w:tcW w:w="4520" w:type="dxa"/>
          </w:tcPr>
          <w:p w14:paraId="1444C79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r>
      <w:tr w14:paraId="167619BB">
        <w:tblPrEx>
          <w:tblCellMar>
            <w:top w:w="0" w:type="dxa"/>
            <w:left w:w="108" w:type="dxa"/>
            <w:bottom w:w="0" w:type="dxa"/>
            <w:right w:w="108" w:type="dxa"/>
          </w:tblCellMar>
        </w:tblPrEx>
        <w:trPr>
          <w:trHeight w:val="511" w:hRule="atLeast"/>
        </w:trPr>
        <w:tc>
          <w:tcPr>
            <w:tcW w:w="4520" w:type="dxa"/>
          </w:tcPr>
          <w:p w14:paraId="47419D5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c>
          <w:tcPr>
            <w:tcW w:w="4520" w:type="dxa"/>
          </w:tcPr>
          <w:p w14:paraId="5045CAD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r>
      <w:tr w14:paraId="237200AC">
        <w:tblPrEx>
          <w:tblCellMar>
            <w:top w:w="0" w:type="dxa"/>
            <w:left w:w="108" w:type="dxa"/>
            <w:bottom w:w="0" w:type="dxa"/>
            <w:right w:w="108" w:type="dxa"/>
          </w:tblCellMar>
        </w:tblPrEx>
        <w:trPr>
          <w:trHeight w:val="511" w:hRule="atLeast"/>
        </w:trPr>
        <w:tc>
          <w:tcPr>
            <w:tcW w:w="4520" w:type="dxa"/>
          </w:tcPr>
          <w:p w14:paraId="33A4718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c>
          <w:tcPr>
            <w:tcW w:w="4520" w:type="dxa"/>
          </w:tcPr>
          <w:p w14:paraId="49FB1E7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r>
      <w:tr w14:paraId="5584630E">
        <w:tblPrEx>
          <w:tblCellMar>
            <w:top w:w="0" w:type="dxa"/>
            <w:left w:w="108" w:type="dxa"/>
            <w:bottom w:w="0" w:type="dxa"/>
            <w:right w:w="108" w:type="dxa"/>
          </w:tblCellMar>
        </w:tblPrEx>
        <w:trPr>
          <w:trHeight w:val="511" w:hRule="atLeast"/>
        </w:trPr>
        <w:tc>
          <w:tcPr>
            <w:tcW w:w="4520" w:type="dxa"/>
          </w:tcPr>
          <w:p w14:paraId="6185025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c>
          <w:tcPr>
            <w:tcW w:w="4520" w:type="dxa"/>
          </w:tcPr>
          <w:p w14:paraId="1F516FF1">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r>
      <w:tr w14:paraId="3BD5A429">
        <w:tblPrEx>
          <w:tblCellMar>
            <w:top w:w="0" w:type="dxa"/>
            <w:left w:w="108" w:type="dxa"/>
            <w:bottom w:w="0" w:type="dxa"/>
            <w:right w:w="108" w:type="dxa"/>
          </w:tblCellMar>
        </w:tblPrEx>
        <w:trPr>
          <w:trHeight w:val="565" w:hRule="atLeast"/>
        </w:trPr>
        <w:tc>
          <w:tcPr>
            <w:tcW w:w="4520" w:type="dxa"/>
          </w:tcPr>
          <w:p w14:paraId="22BC331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c>
          <w:tcPr>
            <w:tcW w:w="4520" w:type="dxa"/>
          </w:tcPr>
          <w:p w14:paraId="0CFE813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r>
      <w:tr w14:paraId="4F7C5B73">
        <w:tblPrEx>
          <w:tblCellMar>
            <w:top w:w="0" w:type="dxa"/>
            <w:left w:w="108" w:type="dxa"/>
            <w:bottom w:w="0" w:type="dxa"/>
            <w:right w:w="108" w:type="dxa"/>
          </w:tblCellMar>
        </w:tblPrEx>
        <w:trPr>
          <w:trHeight w:val="724" w:hRule="atLeast"/>
        </w:trPr>
        <w:tc>
          <w:tcPr>
            <w:tcW w:w="4520" w:type="dxa"/>
          </w:tcPr>
          <w:p w14:paraId="3C29DB3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c>
          <w:tcPr>
            <w:tcW w:w="4520" w:type="dxa"/>
          </w:tcPr>
          <w:p w14:paraId="289198EE">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r>
    </w:tbl>
    <w:p w14:paraId="06C73337">
      <w:pPr>
        <w:autoSpaceDE w:val="0"/>
        <w:autoSpaceDN w:val="0"/>
        <w:adjustRightInd w:val="0"/>
        <w:spacing w:line="360" w:lineRule="auto"/>
        <w:rPr>
          <w:rFonts w:ascii="宋体" w:hAnsi="宋体" w:eastAsia="宋体" w:cs="宋体"/>
          <w:color w:val="auto"/>
          <w:sz w:val="24"/>
        </w:rPr>
      </w:pPr>
    </w:p>
    <w:p w14:paraId="5EE7178F">
      <w:pPr>
        <w:keepNext/>
        <w:keepLines/>
        <w:spacing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r>
        <w:rPr>
          <w:rFonts w:hint="eastAsia" w:ascii="宋体" w:hAnsi="宋体" w:eastAsia="宋体" w:cs="宋体"/>
          <w:b/>
          <w:bCs/>
          <w:color w:val="auto"/>
          <w:kern w:val="44"/>
          <w:sz w:val="24"/>
        </w:rPr>
        <w:t>第二部分 通用合同条款</w:t>
      </w:r>
      <w:bookmarkEnd w:id="67"/>
      <w:bookmarkEnd w:id="68"/>
      <w:bookmarkEnd w:id="69"/>
      <w:bookmarkEnd w:id="70"/>
      <w:bookmarkEnd w:id="71"/>
      <w:bookmarkEnd w:id="72"/>
      <w:bookmarkStart w:id="73" w:name="_Toc337558727"/>
    </w:p>
    <w:bookmarkEnd w:id="73"/>
    <w:p w14:paraId="33E65A19">
      <w:pPr>
        <w:spacing w:line="360" w:lineRule="auto"/>
        <w:jc w:val="center"/>
        <w:rPr>
          <w:rFonts w:ascii="宋体" w:hAnsi="宋体" w:eastAsia="宋体" w:cs="宋体"/>
          <w:bCs/>
          <w:color w:val="auto"/>
          <w:sz w:val="24"/>
        </w:rPr>
      </w:pPr>
      <w:r>
        <w:rPr>
          <w:rFonts w:hint="eastAsia" w:ascii="宋体" w:hAnsi="宋体" w:eastAsia="宋体" w:cs="宋体"/>
          <w:bCs/>
          <w:color w:val="auto"/>
          <w:sz w:val="24"/>
        </w:rPr>
        <w:t>见（GF—2017—0201）建设工程施工合同第二部分通用条款</w:t>
      </w:r>
    </w:p>
    <w:p w14:paraId="17ECD252">
      <w:pPr>
        <w:keepNext/>
        <w:keepLines/>
        <w:spacing w:before="340"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bookmarkStart w:id="74" w:name="_Toc27701"/>
      <w:bookmarkStart w:id="75" w:name="_Toc12714"/>
      <w:bookmarkStart w:id="76" w:name="_Toc21012"/>
      <w:bookmarkStart w:id="77" w:name="_Toc15929"/>
      <w:bookmarkStart w:id="78" w:name="_Toc30143"/>
      <w:bookmarkStart w:id="79" w:name="_Toc351203632"/>
      <w:r>
        <w:rPr>
          <w:rFonts w:hint="eastAsia" w:ascii="宋体" w:hAnsi="宋体" w:eastAsia="宋体" w:cs="宋体"/>
          <w:b/>
          <w:bCs/>
          <w:color w:val="auto"/>
          <w:kern w:val="44"/>
          <w:sz w:val="24"/>
        </w:rPr>
        <w:t>第三部分 专用合同条款</w:t>
      </w:r>
      <w:bookmarkEnd w:id="74"/>
      <w:bookmarkEnd w:id="75"/>
      <w:bookmarkEnd w:id="76"/>
      <w:bookmarkEnd w:id="77"/>
      <w:bookmarkEnd w:id="78"/>
    </w:p>
    <w:p w14:paraId="1297A1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0" w:name="_Toc22032"/>
      <w:bookmarkStart w:id="81" w:name="_Toc5299"/>
      <w:bookmarkStart w:id="82" w:name="_Toc24517"/>
      <w:bookmarkStart w:id="83" w:name="_Toc26108"/>
      <w:bookmarkStart w:id="84" w:name="_Toc13118"/>
      <w:r>
        <w:rPr>
          <w:rFonts w:hint="eastAsia" w:ascii="宋体" w:hAnsi="宋体" w:eastAsia="宋体" w:cs="宋体"/>
          <w:bCs/>
          <w:color w:val="auto"/>
          <w:szCs w:val="21"/>
        </w:rPr>
        <w:t>1. 一般约定</w:t>
      </w:r>
      <w:bookmarkEnd w:id="80"/>
      <w:bookmarkEnd w:id="81"/>
      <w:bookmarkEnd w:id="82"/>
      <w:bookmarkEnd w:id="83"/>
      <w:bookmarkEnd w:id="84"/>
    </w:p>
    <w:p w14:paraId="744BF4D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 词语定义</w:t>
      </w:r>
    </w:p>
    <w:p w14:paraId="2D7B674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1.1.1合同</w:t>
      </w:r>
    </w:p>
    <w:p w14:paraId="4F48363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1.1.1.10其他合同文件包括：</w:t>
      </w:r>
      <w:r>
        <w:rPr>
          <w:rFonts w:hint="eastAsia" w:ascii="宋体" w:hAnsi="宋体" w:eastAsia="宋体" w:cs="宋体"/>
          <w:color w:val="auto"/>
          <w:szCs w:val="21"/>
          <w:u w:val="single"/>
        </w:rPr>
        <w:t>合同履行过程中双方签署的工程联络单、洽商记录等文件。</w:t>
      </w:r>
    </w:p>
    <w:p w14:paraId="5C4C898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1.1.2合同当事人及其他相关方</w:t>
      </w:r>
    </w:p>
    <w:p w14:paraId="54878DA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1.1.2.4监理人：</w:t>
      </w:r>
    </w:p>
    <w:p w14:paraId="7C8062F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C5416F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4B8758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A5A4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8B46B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DFAD67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1.1.2.5设计人：</w:t>
      </w:r>
    </w:p>
    <w:p w14:paraId="1101871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5D582A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9463E9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4C2C13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51950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1F0C9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 工程和设备</w:t>
      </w:r>
    </w:p>
    <w:p w14:paraId="748119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1.1.3.7 作为施工现场组成部分的其他场所包括：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7B6590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1.1.3.9 永久占地包括：</w:t>
      </w:r>
      <w:r>
        <w:rPr>
          <w:rFonts w:hint="eastAsia" w:ascii="宋体" w:hAnsi="宋体" w:eastAsia="宋体" w:cs="宋体"/>
          <w:color w:val="auto"/>
          <w:szCs w:val="21"/>
          <w:u w:val="single"/>
        </w:rPr>
        <w:t xml:space="preserve"> 本工程施工图设计文件中规定的占地红线范围以内区域 </w:t>
      </w:r>
      <w:r>
        <w:rPr>
          <w:rFonts w:hint="eastAsia" w:ascii="宋体" w:hAnsi="宋体" w:eastAsia="宋体" w:cs="宋体"/>
          <w:color w:val="auto"/>
          <w:szCs w:val="21"/>
        </w:rPr>
        <w:t>。</w:t>
      </w:r>
    </w:p>
    <w:p w14:paraId="248526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1.1.3.10 临时占地包括：</w:t>
      </w:r>
      <w:r>
        <w:rPr>
          <w:rFonts w:hint="eastAsia" w:ascii="宋体" w:hAnsi="宋体" w:eastAsia="宋体" w:cs="宋体"/>
          <w:color w:val="auto"/>
          <w:szCs w:val="21"/>
          <w:u w:val="single"/>
        </w:rPr>
        <w:t xml:space="preserve"> 根据承包商申请、经监理人和发包人批准的红线范围以外为实施本次项目所需的占地区域</w:t>
      </w:r>
      <w:r>
        <w:rPr>
          <w:rFonts w:hint="eastAsia" w:ascii="宋体" w:hAnsi="宋体" w:eastAsia="宋体" w:cs="宋体"/>
          <w:color w:val="auto"/>
          <w:szCs w:val="21"/>
        </w:rPr>
        <w:t>。</w:t>
      </w:r>
    </w:p>
    <w:p w14:paraId="64EA697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1.3法律 </w:t>
      </w:r>
    </w:p>
    <w:p w14:paraId="69BE34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适用于合同的其他规范性文件：</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F37F9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 标准和规范</w:t>
      </w:r>
    </w:p>
    <w:p w14:paraId="5CD06A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1.4.1适用于工程的标准规范包括：</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国家现</w:t>
      </w:r>
      <w:r>
        <w:rPr>
          <w:rFonts w:hint="eastAsia" w:ascii="宋体" w:hAnsi="宋体" w:eastAsia="宋体" w:cs="宋体"/>
          <w:color w:val="auto"/>
          <w:spacing w:val="4"/>
          <w:szCs w:val="21"/>
          <w:u w:val="single"/>
        </w:rPr>
        <w:t>行</w:t>
      </w:r>
      <w:r>
        <w:rPr>
          <w:rFonts w:hint="eastAsia" w:ascii="宋体" w:hAnsi="宋体" w:eastAsia="宋体" w:cs="宋体"/>
          <w:color w:val="auto"/>
          <w:spacing w:val="2"/>
          <w:szCs w:val="21"/>
          <w:u w:val="single"/>
        </w:rPr>
        <w:t>标</w:t>
      </w:r>
      <w:r>
        <w:rPr>
          <w:rFonts w:hint="eastAsia" w:ascii="宋体" w:hAnsi="宋体" w:eastAsia="宋体" w:cs="宋体"/>
          <w:color w:val="auto"/>
          <w:szCs w:val="21"/>
          <w:u w:val="single"/>
        </w:rPr>
        <w:t>准</w:t>
      </w:r>
      <w:r>
        <w:rPr>
          <w:rFonts w:hint="eastAsia" w:ascii="宋体" w:hAnsi="宋体" w:eastAsia="宋体" w:cs="宋体"/>
          <w:color w:val="auto"/>
          <w:spacing w:val="2"/>
          <w:szCs w:val="21"/>
          <w:u w:val="single"/>
        </w:rPr>
        <w:t>规范、或（和）行业标准规范、或（和）工程所在地方的标准规范</w:t>
      </w:r>
      <w:r>
        <w:rPr>
          <w:rFonts w:hint="eastAsia" w:ascii="宋体" w:hAnsi="宋体" w:eastAsia="宋体" w:cs="宋体"/>
          <w:color w:val="auto"/>
          <w:szCs w:val="21"/>
          <w:u w:val="single"/>
        </w:rPr>
        <w:t>，以合同签订时的最新版本为准</w:t>
      </w:r>
      <w:r>
        <w:rPr>
          <w:rFonts w:hint="eastAsia" w:ascii="宋体" w:hAnsi="宋体" w:eastAsia="宋体" w:cs="宋体"/>
          <w:color w:val="auto"/>
          <w:spacing w:val="-82"/>
          <w:szCs w:val="21"/>
          <w:u w:val="single"/>
        </w:rPr>
        <w:t>，</w:t>
      </w:r>
      <w:r>
        <w:rPr>
          <w:rFonts w:hint="eastAsia" w:ascii="宋体" w:hAnsi="宋体" w:eastAsia="宋体" w:cs="宋体"/>
          <w:color w:val="auto"/>
          <w:szCs w:val="21"/>
          <w:u w:val="single"/>
        </w:rPr>
        <w:t>当对同一问题的要求标准与国家和地方颁布的标准、规范产生不一致时</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应满足高标准要求</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同时满足发包人的具体要求</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247E1EB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4DE64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发包人提供国外标准、规范的份数：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3B048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E84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1.4.3发包人对工程的技术标准和功能要求的特殊要求：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C7AA1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 合同文件的优先顺序</w:t>
      </w:r>
    </w:p>
    <w:p w14:paraId="258AC68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合同文件组成及优先顺序为：</w:t>
      </w:r>
    </w:p>
    <w:p w14:paraId="0E8D212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合同协议书；</w:t>
      </w:r>
    </w:p>
    <w:p w14:paraId="5EF7730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专用合同条款及其附件；</w:t>
      </w:r>
    </w:p>
    <w:p w14:paraId="0C9D8F7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通用合同条款；</w:t>
      </w:r>
    </w:p>
    <w:p w14:paraId="1671459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图纸；</w:t>
      </w:r>
    </w:p>
    <w:p w14:paraId="48B46C1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技术标准和要求；</w:t>
      </w:r>
    </w:p>
    <w:p w14:paraId="73970B34">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已标价工程量清单；</w:t>
      </w:r>
    </w:p>
    <w:p w14:paraId="5F8E385D">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中标通知书（如果有）；</w:t>
      </w:r>
    </w:p>
    <w:p w14:paraId="43357DF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 xml:space="preserve">投标书及其附录（如果有）； </w:t>
      </w:r>
    </w:p>
    <w:p w14:paraId="2922F35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其他合同文件。</w:t>
      </w:r>
    </w:p>
    <w:p w14:paraId="2F13CD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 图纸和承包人文件</w:t>
      </w:r>
      <w:r>
        <w:rPr>
          <w:rFonts w:hint="eastAsia" w:ascii="宋体" w:hAnsi="宋体" w:eastAsia="宋体" w:cs="宋体"/>
          <w:color w:val="auto"/>
          <w:szCs w:val="21"/>
        </w:rPr>
        <w:tab/>
      </w:r>
    </w:p>
    <w:p w14:paraId="268E7B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图纸的提供</w:t>
      </w:r>
    </w:p>
    <w:p w14:paraId="61D97AE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发包人向承包人提供图纸的期限：</w:t>
      </w:r>
      <w:r>
        <w:rPr>
          <w:rFonts w:hint="eastAsia" w:ascii="宋体" w:hAnsi="宋体" w:eastAsia="宋体" w:cs="宋体"/>
          <w:color w:val="auto"/>
          <w:szCs w:val="21"/>
          <w:u w:val="single"/>
        </w:rPr>
        <w:t xml:space="preserve"> 合同签订后 7 日内提供，发包人提供有关备案文件 </w:t>
      </w:r>
      <w:r>
        <w:rPr>
          <w:rFonts w:hint="eastAsia" w:ascii="宋体" w:hAnsi="宋体" w:eastAsia="宋体" w:cs="宋体"/>
          <w:color w:val="auto"/>
          <w:szCs w:val="21"/>
        </w:rPr>
        <w:t>；</w:t>
      </w:r>
    </w:p>
    <w:p w14:paraId="480A879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发包人向承包人提供图纸的数量：</w:t>
      </w:r>
      <w:r>
        <w:rPr>
          <w:rFonts w:hint="eastAsia" w:ascii="宋体" w:hAnsi="宋体" w:eastAsia="宋体" w:cs="宋体"/>
          <w:color w:val="auto"/>
          <w:szCs w:val="21"/>
          <w:u w:val="single"/>
        </w:rPr>
        <w:t xml:space="preserve">    套</w:t>
      </w:r>
      <w:r>
        <w:rPr>
          <w:rFonts w:hint="eastAsia" w:ascii="宋体" w:hAnsi="宋体" w:eastAsia="宋体" w:cs="宋体"/>
          <w:color w:val="auto"/>
          <w:szCs w:val="21"/>
        </w:rPr>
        <w:t xml:space="preserve">； </w:t>
      </w:r>
    </w:p>
    <w:p w14:paraId="04AD9DD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发包人向承包人提供图纸的内容：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B1F9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1.6.4 承包人文件</w:t>
      </w:r>
    </w:p>
    <w:p w14:paraId="536464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需要由承包人提供的文件，包括：</w:t>
      </w:r>
      <w:r>
        <w:rPr>
          <w:rFonts w:hint="eastAsia" w:ascii="宋体" w:hAnsi="宋体" w:eastAsia="宋体" w:cs="宋体"/>
          <w:color w:val="auto"/>
          <w:szCs w:val="21"/>
          <w:u w:val="single"/>
        </w:rPr>
        <w:t xml:space="preserve">项目实施计划书等 </w:t>
      </w:r>
      <w:r>
        <w:rPr>
          <w:rFonts w:hint="eastAsia" w:ascii="宋体" w:hAnsi="宋体" w:eastAsia="宋体" w:cs="宋体"/>
          <w:color w:val="auto"/>
          <w:szCs w:val="21"/>
        </w:rPr>
        <w:t>；</w:t>
      </w:r>
    </w:p>
    <w:p w14:paraId="00FF1B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承包人提供的文件的期限为：</w:t>
      </w:r>
      <w:r>
        <w:rPr>
          <w:rFonts w:hint="eastAsia" w:ascii="宋体" w:hAnsi="宋体" w:eastAsia="宋体" w:cs="宋体"/>
          <w:color w:val="auto"/>
          <w:szCs w:val="21"/>
          <w:u w:val="single"/>
        </w:rPr>
        <w:t xml:space="preserve"> 合同签订后7天内 </w:t>
      </w:r>
      <w:r>
        <w:rPr>
          <w:rFonts w:hint="eastAsia" w:ascii="宋体" w:hAnsi="宋体" w:eastAsia="宋体" w:cs="宋体"/>
          <w:color w:val="auto"/>
          <w:szCs w:val="21"/>
        </w:rPr>
        <w:t>；</w:t>
      </w:r>
    </w:p>
    <w:p w14:paraId="240E29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承包人提供的文件的数量为：</w:t>
      </w:r>
      <w:r>
        <w:rPr>
          <w:rFonts w:hint="eastAsia" w:ascii="宋体" w:hAnsi="宋体" w:eastAsia="宋体" w:cs="宋体"/>
          <w:color w:val="auto"/>
          <w:szCs w:val="21"/>
          <w:u w:val="single"/>
        </w:rPr>
        <w:t xml:space="preserve">               份 </w:t>
      </w:r>
      <w:r>
        <w:rPr>
          <w:rFonts w:hint="eastAsia" w:ascii="宋体" w:hAnsi="宋体" w:eastAsia="宋体" w:cs="宋体"/>
          <w:color w:val="auto"/>
          <w:szCs w:val="21"/>
        </w:rPr>
        <w:t>；</w:t>
      </w:r>
    </w:p>
    <w:p w14:paraId="1F046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承包人提供的文件的形式为：</w:t>
      </w:r>
      <w:r>
        <w:rPr>
          <w:rFonts w:hint="eastAsia" w:ascii="宋体" w:hAnsi="宋体" w:eastAsia="宋体" w:cs="宋体"/>
          <w:color w:val="auto"/>
          <w:szCs w:val="21"/>
          <w:u w:val="single"/>
        </w:rPr>
        <w:t xml:space="preserve"> □纸质版文件、□电子版文件</w:t>
      </w:r>
      <w:r>
        <w:rPr>
          <w:rFonts w:hint="eastAsia" w:ascii="宋体" w:hAnsi="宋体" w:eastAsia="宋体" w:cs="宋体"/>
          <w:color w:val="auto"/>
          <w:szCs w:val="21"/>
        </w:rPr>
        <w:t>；</w:t>
      </w:r>
    </w:p>
    <w:p w14:paraId="08A9301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发包人审批承包人文件的期限：</w:t>
      </w:r>
      <w:r>
        <w:rPr>
          <w:rFonts w:hint="eastAsia" w:ascii="宋体" w:hAnsi="宋体" w:eastAsia="宋体" w:cs="宋体"/>
          <w:color w:val="auto"/>
          <w:szCs w:val="21"/>
          <w:u w:val="single"/>
        </w:rPr>
        <w:t xml:space="preserve"> 承包人提供文件后    个工作日内 </w:t>
      </w:r>
      <w:r>
        <w:rPr>
          <w:rFonts w:hint="eastAsia" w:ascii="宋体" w:hAnsi="宋体" w:eastAsia="宋体" w:cs="宋体"/>
          <w:color w:val="auto"/>
          <w:szCs w:val="21"/>
        </w:rPr>
        <w:t>。</w:t>
      </w:r>
    </w:p>
    <w:p w14:paraId="0BD8FB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1.6.5 现场图纸准备</w:t>
      </w:r>
    </w:p>
    <w:p w14:paraId="231687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关于现场图纸准备的约定：</w:t>
      </w:r>
      <w:r>
        <w:rPr>
          <w:rFonts w:hint="eastAsia" w:ascii="宋体" w:hAnsi="宋体" w:eastAsia="宋体" w:cs="宋体"/>
          <w:color w:val="auto"/>
          <w:szCs w:val="21"/>
          <w:u w:val="single"/>
        </w:rPr>
        <w:t xml:space="preserve"> /。</w:t>
      </w:r>
    </w:p>
    <w:p w14:paraId="6E7D50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 联络</w:t>
      </w:r>
    </w:p>
    <w:p w14:paraId="69158B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1.7.1发包人和承包人应当在</w:t>
      </w:r>
      <w:r>
        <w:rPr>
          <w:rFonts w:hint="eastAsia" w:ascii="宋体" w:hAnsi="宋体" w:eastAsia="宋体" w:cs="宋体"/>
          <w:color w:val="auto"/>
          <w:szCs w:val="21"/>
          <w:u w:val="single"/>
        </w:rPr>
        <w:t xml:space="preserve"> 7</w:t>
      </w:r>
      <w:r>
        <w:rPr>
          <w:rFonts w:hint="eastAsia" w:ascii="宋体" w:hAnsi="宋体" w:eastAsia="宋体" w:cs="宋体"/>
          <w:color w:val="auto"/>
          <w:szCs w:val="21"/>
        </w:rPr>
        <w:t>天内将与合同有关的通知、批准、证明、证书、指示、指令、要求、请求、同意、意见、确定和决定等书面函件送达对方当事人。</w:t>
      </w:r>
    </w:p>
    <w:p w14:paraId="186132D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1.7.2 发包人接收文件的地点：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7858B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10902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656B7F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7AB3B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15C4BE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ECBCA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 交通运输</w:t>
      </w:r>
    </w:p>
    <w:p w14:paraId="2090527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1.10.1 出入现场的权利</w:t>
      </w:r>
    </w:p>
    <w:p w14:paraId="7F6B18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关于出入现场的权利的约定：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DC7EE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1.10.3 场内交通</w:t>
      </w:r>
    </w:p>
    <w:p w14:paraId="58ECC9E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关于场外交通和场内交通的边界的约定：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7431B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关于发包人向承包人免费提供满足工程施工需要的场内道路和交通设施的约定：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14675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1.10.4超大件和超重件的运输</w:t>
      </w:r>
    </w:p>
    <w:p w14:paraId="4AB631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运输超大件或超重件所需的道路和桥梁临时加固改造费用和其他有关费用由</w:t>
      </w:r>
      <w:r>
        <w:rPr>
          <w:rFonts w:hint="eastAsia" w:ascii="宋体" w:hAnsi="宋体" w:eastAsia="宋体" w:cs="宋体"/>
          <w:color w:val="auto"/>
          <w:szCs w:val="21"/>
          <w:u w:val="single"/>
        </w:rPr>
        <w:t xml:space="preserve"> 承包人 </w:t>
      </w:r>
      <w:r>
        <w:rPr>
          <w:rFonts w:hint="eastAsia" w:ascii="宋体" w:hAnsi="宋体" w:eastAsia="宋体" w:cs="宋体"/>
          <w:color w:val="auto"/>
          <w:szCs w:val="21"/>
        </w:rPr>
        <w:t>承担。</w:t>
      </w:r>
    </w:p>
    <w:p w14:paraId="28FB840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 知识产权</w:t>
      </w:r>
    </w:p>
    <w:p w14:paraId="7C1DCE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u w:val="single"/>
        </w:rPr>
        <w:t xml:space="preserve"> / 。</w:t>
      </w:r>
    </w:p>
    <w:p w14:paraId="0FC5CB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关于发包人提供的上述文件的使用限制的要求：</w:t>
      </w:r>
      <w:r>
        <w:rPr>
          <w:rFonts w:hint="eastAsia" w:ascii="宋体" w:hAnsi="宋体" w:eastAsia="宋体" w:cs="宋体"/>
          <w:color w:val="auto"/>
          <w:szCs w:val="21"/>
          <w:u w:val="single"/>
        </w:rPr>
        <w:t xml:space="preserve"> / 。</w:t>
      </w:r>
    </w:p>
    <w:p w14:paraId="15FF408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1.11.2 关于承包人为实施工程所编制文件的著作权的归属：</w:t>
      </w:r>
      <w:r>
        <w:rPr>
          <w:rFonts w:hint="eastAsia" w:ascii="宋体" w:hAnsi="宋体" w:eastAsia="宋体" w:cs="宋体"/>
          <w:color w:val="auto"/>
          <w:szCs w:val="21"/>
          <w:u w:val="single"/>
        </w:rPr>
        <w:t xml:space="preserve"> / 。</w:t>
      </w:r>
    </w:p>
    <w:p w14:paraId="41F519B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关于承包人提供的上述文件的使用限制的要求：</w:t>
      </w:r>
      <w:r>
        <w:rPr>
          <w:rFonts w:hint="eastAsia" w:ascii="宋体" w:hAnsi="宋体" w:eastAsia="宋体" w:cs="宋体"/>
          <w:color w:val="auto"/>
          <w:szCs w:val="21"/>
          <w:u w:val="single"/>
        </w:rPr>
        <w:t xml:space="preserve"> 。</w:t>
      </w:r>
    </w:p>
    <w:p w14:paraId="2BF073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1.11.4 承包人在施工过程中所采用的专利、专有技术、技术秘密的使用费的承担方式：</w:t>
      </w:r>
      <w:r>
        <w:rPr>
          <w:rFonts w:hint="eastAsia" w:ascii="宋体" w:hAnsi="宋体" w:eastAsia="宋体" w:cs="宋体"/>
          <w:color w:val="auto"/>
          <w:szCs w:val="21"/>
          <w:u w:val="single"/>
        </w:rPr>
        <w:t xml:space="preserve"> 承包人承担 。</w:t>
      </w:r>
    </w:p>
    <w:p w14:paraId="522B242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1.13工程量清单错误的修正</w:t>
      </w:r>
    </w:p>
    <w:p w14:paraId="53EC000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出现工程量清单错误时，是否调整合同价格：</w:t>
      </w:r>
      <w:r>
        <w:rPr>
          <w:rFonts w:hint="eastAsia" w:ascii="宋体" w:hAnsi="宋体" w:eastAsia="宋体" w:cs="宋体"/>
          <w:color w:val="auto"/>
          <w:szCs w:val="21"/>
          <w:u w:val="single"/>
        </w:rPr>
        <w:t xml:space="preserve">  /。</w:t>
      </w:r>
    </w:p>
    <w:p w14:paraId="7DE2C5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允许调整合同价格的工程量偏差范围：</w:t>
      </w:r>
      <w:r>
        <w:rPr>
          <w:rFonts w:hint="eastAsia" w:ascii="宋体" w:hAnsi="宋体" w:eastAsia="宋体" w:cs="宋体"/>
          <w:color w:val="auto"/>
          <w:szCs w:val="21"/>
          <w:u w:val="single"/>
        </w:rPr>
        <w:t xml:space="preserve"> / 。</w:t>
      </w:r>
    </w:p>
    <w:p w14:paraId="54F6AE2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5" w:name="_Toc9889"/>
      <w:bookmarkStart w:id="86" w:name="_Toc73"/>
      <w:bookmarkStart w:id="87" w:name="_Toc27569"/>
      <w:bookmarkStart w:id="88" w:name="_Toc30689"/>
      <w:bookmarkStart w:id="89" w:name="_Toc26034"/>
      <w:r>
        <w:rPr>
          <w:rFonts w:hint="eastAsia" w:ascii="宋体" w:hAnsi="宋体" w:eastAsia="宋体" w:cs="宋体"/>
          <w:bCs/>
          <w:color w:val="auto"/>
          <w:szCs w:val="21"/>
        </w:rPr>
        <w:t>2. 发包人</w:t>
      </w:r>
      <w:bookmarkEnd w:id="85"/>
      <w:bookmarkEnd w:id="86"/>
      <w:bookmarkEnd w:id="87"/>
      <w:bookmarkEnd w:id="88"/>
      <w:bookmarkEnd w:id="89"/>
    </w:p>
    <w:p w14:paraId="7EEBE87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 发包人代表</w:t>
      </w:r>
    </w:p>
    <w:p w14:paraId="2ACFCC1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发包人代表：</w:t>
      </w:r>
    </w:p>
    <w:p w14:paraId="003620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CDB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89BB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085D8D1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63162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0C023C">
      <w:pPr>
        <w:adjustRightInd w:val="0"/>
        <w:snapToGrid w:val="0"/>
        <w:spacing w:line="360" w:lineRule="auto"/>
        <w:ind w:firstLine="420" w:firstLineChars="200"/>
        <w:rPr>
          <w:rFonts w:ascii="宋体" w:hAnsi="宋体" w:eastAsia="宋体" w:cs="宋体"/>
          <w:color w:val="auto"/>
          <w:spacing w:val="-20"/>
          <w:szCs w:val="21"/>
        </w:rPr>
      </w:pPr>
      <w:r>
        <w:rPr>
          <w:rFonts w:hint="eastAsia" w:ascii="宋体" w:hAnsi="宋体" w:eastAsia="宋体" w:cs="宋体"/>
          <w:color w:val="auto"/>
          <w:szCs w:val="21"/>
        </w:rPr>
        <w:t>通信地址：</w:t>
      </w:r>
      <w:r>
        <w:rPr>
          <w:rFonts w:hint="eastAsia" w:ascii="宋体" w:hAnsi="宋体" w:eastAsia="宋体" w:cs="宋体"/>
          <w:color w:val="auto"/>
          <w:spacing w:val="-20"/>
          <w:szCs w:val="21"/>
          <w:u w:val="single"/>
        </w:rPr>
        <w:t xml:space="preserve">                           </w:t>
      </w:r>
      <w:r>
        <w:rPr>
          <w:rFonts w:hint="eastAsia" w:ascii="宋体" w:hAnsi="宋体" w:eastAsia="宋体" w:cs="宋体"/>
          <w:color w:val="auto"/>
          <w:spacing w:val="-20"/>
          <w:szCs w:val="21"/>
          <w:u w:val="single"/>
        </w:rPr>
        <w:tab/>
      </w:r>
      <w:r>
        <w:rPr>
          <w:rFonts w:hint="eastAsia" w:ascii="宋体" w:hAnsi="宋体" w:eastAsia="宋体" w:cs="宋体"/>
          <w:color w:val="auto"/>
          <w:spacing w:val="-20"/>
          <w:szCs w:val="21"/>
        </w:rPr>
        <w:t>。</w:t>
      </w:r>
    </w:p>
    <w:p w14:paraId="5A4669C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发包人对发包人代表的授权范围如下：</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主持开展施工现场的全面工</w:t>
      </w:r>
      <w:r>
        <w:rPr>
          <w:rFonts w:hint="eastAsia" w:ascii="宋体" w:hAnsi="宋体" w:eastAsia="宋体" w:cs="宋体"/>
          <w:color w:val="auto"/>
          <w:spacing w:val="4"/>
          <w:szCs w:val="21"/>
          <w:u w:val="single"/>
        </w:rPr>
        <w:t>作</w:t>
      </w:r>
      <w:r>
        <w:rPr>
          <w:rFonts w:hint="eastAsia" w:ascii="宋体" w:hAnsi="宋体" w:eastAsia="宋体" w:cs="宋体"/>
          <w:color w:val="auto"/>
          <w:spacing w:val="2"/>
          <w:szCs w:val="21"/>
          <w:u w:val="single"/>
        </w:rPr>
        <w:t>，代表发</w:t>
      </w:r>
      <w:r>
        <w:rPr>
          <w:rFonts w:hint="eastAsia" w:ascii="宋体" w:hAnsi="宋体" w:eastAsia="宋体" w:cs="宋体"/>
          <w:color w:val="auto"/>
          <w:szCs w:val="21"/>
          <w:u w:val="single"/>
        </w:rPr>
        <w:t>包</w:t>
      </w:r>
      <w:r>
        <w:rPr>
          <w:rFonts w:hint="eastAsia" w:ascii="宋体" w:hAnsi="宋体" w:eastAsia="宋体" w:cs="宋体"/>
          <w:color w:val="auto"/>
          <w:spacing w:val="2"/>
          <w:szCs w:val="21"/>
          <w:u w:val="single"/>
        </w:rPr>
        <w:t>人按发包人内控管理制度行使发包人的权利和义务。对工程质量、</w:t>
      </w:r>
      <w:r>
        <w:rPr>
          <w:rFonts w:hint="eastAsia" w:ascii="宋体" w:hAnsi="宋体" w:eastAsia="宋体" w:cs="宋体"/>
          <w:color w:val="auto"/>
          <w:szCs w:val="21"/>
          <w:u w:val="single"/>
        </w:rPr>
        <w:t>安</w:t>
      </w:r>
      <w:r>
        <w:rPr>
          <w:rFonts w:hint="eastAsia" w:ascii="宋体" w:hAnsi="宋体" w:eastAsia="宋体" w:cs="宋体"/>
          <w:color w:val="auto"/>
          <w:spacing w:val="2"/>
          <w:szCs w:val="21"/>
          <w:u w:val="single"/>
        </w:rPr>
        <w:t>全、工期、造价等进行现场管理和施工协调；接收、审核并加盖公</w:t>
      </w:r>
      <w:r>
        <w:rPr>
          <w:rFonts w:hint="eastAsia" w:ascii="宋体" w:hAnsi="宋体" w:eastAsia="宋体" w:cs="宋体"/>
          <w:color w:val="auto"/>
          <w:szCs w:val="21"/>
          <w:u w:val="single"/>
        </w:rPr>
        <w:t>章</w:t>
      </w:r>
      <w:r>
        <w:rPr>
          <w:rFonts w:hint="eastAsia" w:ascii="宋体" w:hAnsi="宋体" w:eastAsia="宋体" w:cs="宋体"/>
          <w:color w:val="auto"/>
          <w:spacing w:val="2"/>
          <w:szCs w:val="21"/>
          <w:u w:val="single"/>
        </w:rPr>
        <w:t>确认承包人移交的工程变更、现场签证、工程结算价款报告及工程</w:t>
      </w:r>
      <w:r>
        <w:rPr>
          <w:rFonts w:hint="eastAsia" w:ascii="宋体" w:hAnsi="宋体" w:eastAsia="宋体" w:cs="宋体"/>
          <w:color w:val="auto"/>
          <w:szCs w:val="21"/>
          <w:u w:val="single"/>
        </w:rPr>
        <w:t>验收报告</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协调施工现场的各种矛盾，代表发包人在施工现场履行合同</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3C19C13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 施工现场、施工条件和基础资料的提供</w:t>
      </w:r>
    </w:p>
    <w:p w14:paraId="2EAC1D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2.4.1 提供施工现场</w:t>
      </w:r>
    </w:p>
    <w:p w14:paraId="6507ED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关于发包人移交施工现场的期限要求：</w:t>
      </w:r>
      <w:r>
        <w:rPr>
          <w:rFonts w:hint="eastAsia" w:ascii="宋体" w:hAnsi="宋体" w:eastAsia="宋体" w:cs="宋体"/>
          <w:color w:val="auto"/>
          <w:szCs w:val="21"/>
          <w:u w:val="single"/>
        </w:rPr>
        <w:t xml:space="preserve">计划开工日期前7天 </w:t>
      </w:r>
      <w:r>
        <w:rPr>
          <w:rFonts w:hint="eastAsia" w:ascii="宋体" w:hAnsi="宋体" w:eastAsia="宋体" w:cs="宋体"/>
          <w:color w:val="auto"/>
          <w:szCs w:val="21"/>
        </w:rPr>
        <w:t>。</w:t>
      </w:r>
    </w:p>
    <w:p w14:paraId="086D6C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2.4.2 提供施工条件</w:t>
      </w:r>
    </w:p>
    <w:p w14:paraId="5CFD910C">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关于发包人应负责提供施工所需要的条件，包括：</w:t>
      </w:r>
      <w:r>
        <w:rPr>
          <w:rFonts w:hint="eastAsia" w:ascii="宋体" w:hAnsi="宋体" w:eastAsia="宋体" w:cs="宋体"/>
          <w:color w:val="auto"/>
          <w:szCs w:val="21"/>
          <w:u w:val="single"/>
        </w:rPr>
        <w:t>发包人免费提供工程施工所需的交通道路以及水、电</w:t>
      </w:r>
      <w:r>
        <w:rPr>
          <w:rFonts w:hint="eastAsia" w:ascii="宋体" w:hAnsi="宋体" w:eastAsia="宋体" w:cs="宋体"/>
          <w:color w:val="auto"/>
          <w:szCs w:val="21"/>
          <w:u w:val="none"/>
        </w:rPr>
        <w:t>。</w:t>
      </w:r>
    </w:p>
    <w:p w14:paraId="090695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 资金来源证明及支付担保</w:t>
      </w:r>
    </w:p>
    <w:p w14:paraId="3A41A4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发包人提供资金来源证明的期限要求：</w:t>
      </w:r>
      <w:r>
        <w:rPr>
          <w:rFonts w:hint="eastAsia" w:ascii="宋体" w:hAnsi="宋体" w:eastAsia="宋体" w:cs="宋体"/>
          <w:color w:val="auto"/>
          <w:szCs w:val="21"/>
          <w:u w:val="single"/>
        </w:rPr>
        <w:t xml:space="preserve"> 承包人提供履约保函或工程担保后30日内，由发包人提供</w:t>
      </w:r>
      <w:r>
        <w:rPr>
          <w:rFonts w:hint="eastAsia" w:ascii="宋体" w:hAnsi="宋体" w:eastAsia="宋体" w:cs="宋体"/>
          <w:color w:val="auto"/>
          <w:szCs w:val="21"/>
        </w:rPr>
        <w:t xml:space="preserve"> 。</w:t>
      </w:r>
    </w:p>
    <w:p w14:paraId="1D48223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发包人是否提供支付担保：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99AE34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发包人提供支付担保的形式：</w:t>
      </w:r>
      <w:r>
        <w:rPr>
          <w:rFonts w:hint="eastAsia" w:ascii="宋体" w:hAnsi="宋体" w:eastAsia="宋体" w:cs="宋体"/>
          <w:color w:val="auto"/>
          <w:szCs w:val="21"/>
          <w:u w:val="single"/>
        </w:rPr>
        <w:t>支付担保可为现金或转账或银行担保等</w:t>
      </w:r>
      <w:r>
        <w:rPr>
          <w:rFonts w:hint="eastAsia" w:ascii="宋体" w:hAnsi="宋体" w:eastAsia="宋体" w:cs="宋体"/>
          <w:color w:val="auto"/>
          <w:szCs w:val="21"/>
        </w:rPr>
        <w:t>。</w:t>
      </w:r>
    </w:p>
    <w:p w14:paraId="1C03147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0" w:name="_Toc19409"/>
      <w:bookmarkStart w:id="91" w:name="_Toc21155"/>
      <w:bookmarkStart w:id="92" w:name="_Toc26923"/>
      <w:bookmarkStart w:id="93" w:name="_Toc22635"/>
      <w:bookmarkStart w:id="94" w:name="_Toc24196"/>
      <w:r>
        <w:rPr>
          <w:rFonts w:hint="eastAsia" w:ascii="宋体" w:hAnsi="宋体" w:eastAsia="宋体" w:cs="宋体"/>
          <w:bCs/>
          <w:color w:val="auto"/>
          <w:szCs w:val="21"/>
        </w:rPr>
        <w:t>3. 承包人</w:t>
      </w:r>
      <w:bookmarkEnd w:id="90"/>
      <w:bookmarkEnd w:id="91"/>
      <w:bookmarkEnd w:id="92"/>
      <w:bookmarkEnd w:id="93"/>
      <w:bookmarkEnd w:id="94"/>
    </w:p>
    <w:p w14:paraId="5A824C5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 承包人的一般义务</w:t>
      </w:r>
    </w:p>
    <w:p w14:paraId="2D730CDA">
      <w:pPr>
        <w:adjustRightInd w:val="0"/>
        <w:snapToGrid w:val="0"/>
        <w:spacing w:line="360" w:lineRule="auto"/>
        <w:ind w:firstLine="420" w:firstLineChars="200"/>
        <w:rPr>
          <w:rFonts w:ascii="宋体" w:hAnsi="宋体" w:eastAsia="宋体" w:cs="宋体"/>
          <w:color w:val="auto"/>
          <w:spacing w:val="-11"/>
          <w:szCs w:val="21"/>
        </w:rPr>
      </w:pPr>
      <w:r>
        <w:rPr>
          <w:rFonts w:hint="eastAsia" w:ascii="宋体" w:hAnsi="宋体" w:eastAsia="宋体" w:cs="宋体"/>
          <w:color w:val="auto"/>
          <w:szCs w:val="21"/>
        </w:rPr>
        <w:t>（1）承包人提交的竣工资料的内容：</w:t>
      </w:r>
      <w:r>
        <w:rPr>
          <w:rFonts w:hint="eastAsia" w:ascii="宋体" w:hAnsi="宋体" w:eastAsia="宋体" w:cs="宋体"/>
          <w:color w:val="auto"/>
          <w:spacing w:val="-11"/>
          <w:szCs w:val="21"/>
          <w:u w:val="single"/>
        </w:rPr>
        <w:t xml:space="preserve">                </w:t>
      </w:r>
      <w:r>
        <w:rPr>
          <w:rFonts w:hint="eastAsia" w:ascii="宋体" w:hAnsi="宋体" w:eastAsia="宋体" w:cs="宋体"/>
          <w:color w:val="auto"/>
          <w:spacing w:val="-11"/>
          <w:szCs w:val="21"/>
        </w:rPr>
        <w:t>。</w:t>
      </w:r>
    </w:p>
    <w:p w14:paraId="296939F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承包人需要提交的竣工资料套数：</w:t>
      </w:r>
      <w:r>
        <w:rPr>
          <w:rFonts w:hint="eastAsia" w:ascii="宋体" w:hAnsi="宋体" w:eastAsia="宋体" w:cs="宋体"/>
          <w:color w:val="auto"/>
          <w:szCs w:val="21"/>
          <w:u w:val="single"/>
        </w:rPr>
        <w:t xml:space="preserve">             套 </w:t>
      </w:r>
      <w:r>
        <w:rPr>
          <w:rFonts w:hint="eastAsia" w:ascii="宋体" w:hAnsi="宋体" w:eastAsia="宋体" w:cs="宋体"/>
          <w:color w:val="auto"/>
          <w:szCs w:val="21"/>
        </w:rPr>
        <w:t>。</w:t>
      </w:r>
    </w:p>
    <w:p w14:paraId="2017D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承包人提交的竣工资料的费用承担：</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BA545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承包人提交的竣工资料移交时间：</w:t>
      </w:r>
      <w:r>
        <w:rPr>
          <w:rFonts w:hint="eastAsia" w:ascii="宋体" w:hAnsi="宋体" w:eastAsia="宋体" w:cs="宋体"/>
          <w:color w:val="auto"/>
          <w:szCs w:val="21"/>
          <w:u w:val="single"/>
        </w:rPr>
        <w:t xml:space="preserve"> 工程竣工验收后90日内 </w:t>
      </w:r>
      <w:r>
        <w:rPr>
          <w:rFonts w:hint="eastAsia" w:ascii="宋体" w:hAnsi="宋体" w:eastAsia="宋体" w:cs="宋体"/>
          <w:color w:val="auto"/>
          <w:szCs w:val="21"/>
        </w:rPr>
        <w:t>。</w:t>
      </w:r>
    </w:p>
    <w:p w14:paraId="6233730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承包人提交的竣工资料形式要求：</w:t>
      </w:r>
      <w:r>
        <w:rPr>
          <w:rFonts w:hint="eastAsia" w:ascii="宋体" w:hAnsi="宋体" w:eastAsia="宋体" w:cs="宋体"/>
          <w:color w:val="auto"/>
          <w:szCs w:val="21"/>
          <w:u w:val="single"/>
        </w:rPr>
        <w:t xml:space="preserve"> 按照文物安全防护工程相关要求提供纸版文件 </w:t>
      </w:r>
      <w:r>
        <w:rPr>
          <w:rFonts w:hint="eastAsia" w:ascii="宋体" w:hAnsi="宋体" w:eastAsia="宋体" w:cs="宋体"/>
          <w:color w:val="auto"/>
          <w:szCs w:val="21"/>
        </w:rPr>
        <w:t>。</w:t>
      </w:r>
    </w:p>
    <w:p w14:paraId="57C5C1E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（2）承包人应履行的其他义务：</w:t>
      </w:r>
      <w:r>
        <w:rPr>
          <w:rFonts w:hint="eastAsia" w:ascii="宋体" w:hAnsi="宋体" w:eastAsia="宋体" w:cs="宋体"/>
          <w:color w:val="auto"/>
          <w:szCs w:val="21"/>
          <w:u w:val="single"/>
        </w:rPr>
        <w:t xml:space="preserve"> 执行《通用合同条款》3.1款 </w:t>
      </w:r>
      <w:r>
        <w:rPr>
          <w:rFonts w:hint="eastAsia" w:ascii="宋体" w:hAnsi="宋体" w:eastAsia="宋体" w:cs="宋体"/>
          <w:color w:val="auto"/>
          <w:spacing w:val="-17"/>
          <w:szCs w:val="21"/>
        </w:rPr>
        <w:t>。</w:t>
      </w:r>
    </w:p>
    <w:p w14:paraId="305892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 项目经理</w:t>
      </w:r>
    </w:p>
    <w:p w14:paraId="1C8F71A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3.2.1项目经理：</w:t>
      </w:r>
    </w:p>
    <w:p w14:paraId="500017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CC366D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6D9AF6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建造师执业资格等级：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E6AD5F5">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建造师注册证书号：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4D7C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建造师执业印章号：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0734F4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安全生产考核合格证书号：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281DF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22F99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325A99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066B9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承包人对项目经理的授权范围如下：</w:t>
      </w:r>
      <w:r>
        <w:rPr>
          <w:rFonts w:hint="eastAsia" w:ascii="宋体" w:hAnsi="宋体" w:eastAsia="宋体" w:cs="宋体"/>
          <w:color w:val="auto"/>
          <w:szCs w:val="21"/>
          <w:u w:val="single"/>
        </w:rPr>
        <w:t>全面负责施工期间的施工质量、进度、安全、成本及其他事宜</w:t>
      </w:r>
      <w:r>
        <w:rPr>
          <w:rFonts w:hint="eastAsia" w:ascii="宋体" w:hAnsi="宋体" w:eastAsia="宋体" w:cs="宋体"/>
          <w:color w:val="auto"/>
          <w:szCs w:val="21"/>
        </w:rPr>
        <w:t>。</w:t>
      </w:r>
    </w:p>
    <w:p w14:paraId="1DA5F8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关于项目经理每月在施工现场的时间要求：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8D9A0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 承包人人员</w:t>
      </w:r>
    </w:p>
    <w:p w14:paraId="5B41FE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3.3.1 承包人提交项目管理机构及施工现场管理人员安排报告的期限：</w:t>
      </w:r>
      <w:r>
        <w:rPr>
          <w:rFonts w:hint="eastAsia" w:ascii="宋体" w:hAnsi="宋体" w:eastAsia="宋体" w:cs="宋体"/>
          <w:color w:val="auto"/>
          <w:szCs w:val="21"/>
          <w:u w:val="single"/>
        </w:rPr>
        <w:t xml:space="preserve">计划开工日期前3天 </w:t>
      </w:r>
      <w:r>
        <w:rPr>
          <w:rFonts w:hint="eastAsia" w:ascii="宋体" w:hAnsi="宋体" w:eastAsia="宋体" w:cs="宋体"/>
          <w:color w:val="auto"/>
          <w:szCs w:val="21"/>
        </w:rPr>
        <w:t>。</w:t>
      </w:r>
    </w:p>
    <w:p w14:paraId="218CDEC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3.3.3 承包人无正当理由拒绝撤换主要施工管理人员的违约责任：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67F1E79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3.3.4 承包人主要施工管理人员离开施工现场的批准要求：</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4FD563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3.3.5承包人擅自更换主要施工管理人员的违约责任：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36AB99B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承包人主要施工管理人员擅自离开施工现场的违约责任：</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08E6D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 分包</w:t>
      </w:r>
    </w:p>
    <w:p w14:paraId="57712C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3.5.1 分包的一般约定</w:t>
      </w:r>
    </w:p>
    <w:p w14:paraId="2C5F9D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禁止分包的工程包括：</w:t>
      </w:r>
      <w:r>
        <w:rPr>
          <w:rFonts w:hint="eastAsia" w:ascii="宋体" w:hAnsi="宋体" w:eastAsia="宋体" w:cs="宋体"/>
          <w:color w:val="auto"/>
          <w:szCs w:val="21"/>
          <w:u w:val="single"/>
        </w:rPr>
        <w:t xml:space="preserve"> 遵照通用条款执行 </w:t>
      </w:r>
      <w:r>
        <w:rPr>
          <w:rFonts w:hint="eastAsia" w:ascii="宋体" w:hAnsi="宋体" w:eastAsia="宋体" w:cs="宋体"/>
          <w:color w:val="auto"/>
          <w:szCs w:val="21"/>
        </w:rPr>
        <w:t>。</w:t>
      </w:r>
    </w:p>
    <w:p w14:paraId="05D5B7D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主体结构、关键性工作的范围：</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9D552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3.5.2分包的确定</w:t>
      </w:r>
    </w:p>
    <w:p w14:paraId="5A99DCDF">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允许分包的专业工程包括：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3C718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其他关于分包的约定：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4FBCD3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3.5.4 分包合同价款</w:t>
      </w:r>
    </w:p>
    <w:p w14:paraId="4EAD385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关于分包合同价款支付的约定：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3002B5">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3.6 工程照管与成品、半成品保护承包人负责照管工程及工程相关的材料、工程设备的起始时间：</w:t>
      </w:r>
      <w:r>
        <w:rPr>
          <w:rFonts w:hint="eastAsia" w:ascii="宋体" w:hAnsi="宋体" w:eastAsia="宋体" w:cs="宋体"/>
          <w:color w:val="auto"/>
          <w:szCs w:val="21"/>
          <w:u w:val="single"/>
        </w:rPr>
        <w:t>合同约定工期</w:t>
      </w:r>
      <w:r>
        <w:rPr>
          <w:rFonts w:hint="eastAsia" w:ascii="宋体" w:hAnsi="宋体" w:eastAsia="宋体" w:cs="宋体"/>
          <w:color w:val="auto"/>
          <w:szCs w:val="21"/>
        </w:rPr>
        <w:t xml:space="preserve"> 。</w:t>
      </w:r>
    </w:p>
    <w:p w14:paraId="223EDDC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 履约担保</w:t>
      </w:r>
    </w:p>
    <w:p w14:paraId="4DEA239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承包人是否提供履约担保：</w:t>
      </w:r>
      <w:r>
        <w:rPr>
          <w:rFonts w:hint="eastAsia" w:ascii="宋体" w:hAnsi="宋体" w:eastAsia="宋体" w:cs="宋体"/>
          <w:color w:val="auto"/>
          <w:szCs w:val="21"/>
          <w:u w:val="single"/>
        </w:rPr>
        <w:t xml:space="preserve"> 本项目不提供 </w:t>
      </w:r>
      <w:r>
        <w:rPr>
          <w:rFonts w:hint="eastAsia" w:ascii="宋体" w:hAnsi="宋体" w:eastAsia="宋体" w:cs="宋体"/>
          <w:color w:val="auto"/>
          <w:szCs w:val="21"/>
        </w:rPr>
        <w:t>。</w:t>
      </w:r>
    </w:p>
    <w:p w14:paraId="235DCB4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承包人提供履约担保的形式、金额及期限的：</w:t>
      </w:r>
      <w:r>
        <w:rPr>
          <w:rFonts w:hint="eastAsia" w:ascii="宋体" w:hAnsi="宋体" w:cs="宋体"/>
          <w:color w:val="auto"/>
          <w:szCs w:val="21"/>
          <w:u w:val="single"/>
          <w:lang w:val="en-US" w:eastAsia="zh-CN"/>
        </w:rPr>
        <w:t xml:space="preserve">         /        </w:t>
      </w:r>
      <w:r>
        <w:rPr>
          <w:rFonts w:hint="eastAsia" w:ascii="宋体" w:hAnsi="宋体" w:eastAsia="宋体" w:cs="宋体"/>
          <w:color w:val="auto"/>
          <w:szCs w:val="21"/>
        </w:rPr>
        <w:t>。</w:t>
      </w:r>
    </w:p>
    <w:p w14:paraId="45701E1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5" w:name="_Toc30311"/>
      <w:bookmarkStart w:id="96" w:name="_Toc24627"/>
      <w:bookmarkStart w:id="97" w:name="_Toc3925"/>
      <w:bookmarkStart w:id="98" w:name="_Toc14079"/>
      <w:bookmarkStart w:id="99" w:name="_Toc5446"/>
      <w:r>
        <w:rPr>
          <w:rFonts w:hint="eastAsia" w:ascii="宋体" w:hAnsi="宋体" w:eastAsia="宋体" w:cs="宋体"/>
          <w:bCs/>
          <w:color w:val="auto"/>
          <w:szCs w:val="21"/>
        </w:rPr>
        <w:t>4. 监理人</w:t>
      </w:r>
      <w:bookmarkEnd w:id="95"/>
      <w:bookmarkEnd w:id="96"/>
      <w:bookmarkEnd w:id="97"/>
      <w:bookmarkEnd w:id="98"/>
      <w:bookmarkEnd w:id="99"/>
    </w:p>
    <w:p w14:paraId="5FF87CD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4.1监理人的一般规定</w:t>
      </w:r>
    </w:p>
    <w:p w14:paraId="56655A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8BD0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关于监理人的监理权限：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26B5E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关于监理人在施工现场的办公场所、生活场所的提供和费用承担的约定：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7F753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4.2 监理人员</w:t>
      </w:r>
    </w:p>
    <w:p w14:paraId="10832D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总监理工程师：</w:t>
      </w:r>
    </w:p>
    <w:p w14:paraId="07300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546DA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A1755E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监理工程师执业资格证书号：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bookmarkEnd w:id="79"/>
    <w:p w14:paraId="320A9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44815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C8764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59C6447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关于监理人的其他约定：</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216C4F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4.4 商定或确定</w:t>
      </w:r>
    </w:p>
    <w:p w14:paraId="1C069345">
      <w:pPr>
        <w:adjustRightInd w:val="0"/>
        <w:snapToGrid w:val="0"/>
        <w:spacing w:line="360" w:lineRule="auto"/>
        <w:ind w:firstLine="420" w:firstLineChars="200"/>
        <w:rPr>
          <w:rFonts w:ascii="宋体" w:hAnsi="宋体" w:eastAsia="宋体" w:cs="宋体"/>
          <w:color w:val="auto"/>
          <w:szCs w:val="21"/>
        </w:rPr>
      </w:pPr>
      <w:bookmarkStart w:id="100" w:name="_Toc267251418"/>
      <w:r>
        <w:rPr>
          <w:rFonts w:hint="eastAsia" w:ascii="宋体" w:hAnsi="宋体" w:eastAsia="宋体" w:cs="宋体"/>
          <w:color w:val="auto"/>
          <w:szCs w:val="21"/>
        </w:rPr>
        <w:t>在发包人和承包人不能通过协商达成一致意见时，发包人授权监理人对以下事项进行确定：</w:t>
      </w:r>
    </w:p>
    <w:p w14:paraId="11766D8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A761F4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01" w:name="_Toc21705"/>
      <w:bookmarkStart w:id="102" w:name="_Toc23916"/>
      <w:bookmarkStart w:id="103" w:name="_Toc32605"/>
      <w:bookmarkStart w:id="104" w:name="_Toc351203637"/>
      <w:bookmarkStart w:id="105" w:name="_Toc29488"/>
      <w:bookmarkStart w:id="106" w:name="_Toc10520"/>
      <w:r>
        <w:rPr>
          <w:rFonts w:hint="eastAsia" w:ascii="宋体" w:hAnsi="宋体" w:eastAsia="宋体" w:cs="宋体"/>
          <w:bCs/>
          <w:color w:val="auto"/>
          <w:szCs w:val="21"/>
        </w:rPr>
        <w:t>5</w:t>
      </w:r>
      <w:bookmarkEnd w:id="100"/>
      <w:bookmarkStart w:id="107" w:name="_Toc297048349"/>
      <w:bookmarkStart w:id="108" w:name="_Toc296890991"/>
      <w:bookmarkStart w:id="109" w:name="_Toc296891203"/>
      <w:bookmarkStart w:id="110" w:name="_Toc292559872"/>
      <w:bookmarkStart w:id="111" w:name="_Toc292559367"/>
      <w:bookmarkStart w:id="112" w:name="_Toc296503163"/>
      <w:bookmarkStart w:id="113" w:name="_Toc296347162"/>
      <w:bookmarkStart w:id="114" w:name="_Toc296944502"/>
      <w:bookmarkStart w:id="115" w:name="_Toc297120463"/>
      <w:bookmarkStart w:id="116" w:name="_Toc296346664"/>
      <w:r>
        <w:rPr>
          <w:rFonts w:hint="eastAsia" w:ascii="宋体" w:hAnsi="宋体" w:eastAsia="宋体" w:cs="宋体"/>
          <w:bCs/>
          <w:color w:val="auto"/>
          <w:szCs w:val="21"/>
        </w:rPr>
        <w:t>. 工程质量</w:t>
      </w:r>
      <w:bookmarkEnd w:id="101"/>
      <w:bookmarkEnd w:id="102"/>
      <w:bookmarkEnd w:id="103"/>
      <w:bookmarkEnd w:id="104"/>
      <w:bookmarkEnd w:id="105"/>
      <w:bookmarkEnd w:id="106"/>
    </w:p>
    <w:p w14:paraId="76004B4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5.1 质量要求</w:t>
      </w:r>
    </w:p>
    <w:p w14:paraId="69C9AC71">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5</w:t>
      </w:r>
      <w:bookmarkStart w:id="117" w:name="_Toc300934949"/>
      <w:bookmarkStart w:id="118" w:name="_Toc304295527"/>
      <w:bookmarkStart w:id="119" w:name="_Toc303539106"/>
      <w:bookmarkStart w:id="120" w:name="_Toc297216155"/>
      <w:bookmarkStart w:id="121" w:name="_Toc318581164"/>
      <w:bookmarkStart w:id="122" w:name="_Toc312677997"/>
      <w:bookmarkStart w:id="123" w:name="_Toc297123496"/>
      <w:r>
        <w:rPr>
          <w:rFonts w:hint="eastAsia" w:ascii="宋体" w:hAnsi="宋体" w:eastAsia="宋体" w:cs="宋体"/>
          <w:color w:val="auto"/>
          <w:szCs w:val="21"/>
        </w:rPr>
        <w:t>.1.1 特殊质量标准和要求：</w:t>
      </w:r>
      <w:r>
        <w:rPr>
          <w:rFonts w:hint="eastAsia" w:ascii="宋体" w:hAnsi="宋体" w:eastAsia="宋体" w:cs="宋体"/>
          <w:color w:val="auto"/>
          <w:szCs w:val="21"/>
          <w:u w:val="single"/>
        </w:rPr>
        <w:t xml:space="preserve">按现行国家质量验收合格标准执行 </w:t>
      </w:r>
      <w:r>
        <w:rPr>
          <w:rFonts w:hint="eastAsia" w:ascii="宋体" w:hAnsi="宋体" w:eastAsia="宋体" w:cs="宋体"/>
          <w:color w:val="auto"/>
          <w:spacing w:val="-17"/>
          <w:szCs w:val="21"/>
        </w:rPr>
        <w:t>。</w:t>
      </w:r>
    </w:p>
    <w:p w14:paraId="15C072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关于工程奖项的约定：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0B1BCB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 隐蔽工程检查</w:t>
      </w:r>
    </w:p>
    <w:p w14:paraId="093F35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5.3.2承包人提前通知监理人隐蔽工程检查的期限的约定：</w:t>
      </w:r>
      <w:r>
        <w:rPr>
          <w:rFonts w:hint="eastAsia" w:ascii="宋体" w:hAnsi="宋体" w:eastAsia="宋体" w:cs="宋体"/>
          <w:color w:val="auto"/>
          <w:szCs w:val="21"/>
          <w:u w:val="single"/>
        </w:rPr>
        <w:t>24小时</w:t>
      </w:r>
      <w:r>
        <w:rPr>
          <w:rFonts w:hint="eastAsia" w:ascii="宋体" w:hAnsi="宋体" w:eastAsia="宋体" w:cs="宋体"/>
          <w:color w:val="auto"/>
          <w:szCs w:val="21"/>
        </w:rPr>
        <w:t>。</w:t>
      </w:r>
    </w:p>
    <w:p w14:paraId="2FA92A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监理人不能按时进行检查时，应提前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05B378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5BA80D6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24" w:name="_Toc3039"/>
      <w:bookmarkStart w:id="125" w:name="_Toc7343"/>
      <w:bookmarkStart w:id="126" w:name="_Toc18513"/>
      <w:bookmarkStart w:id="127" w:name="_Toc11724"/>
      <w:bookmarkStart w:id="128" w:name="_Toc32675"/>
      <w:bookmarkStart w:id="129" w:name="_Toc351203638"/>
      <w:r>
        <w:rPr>
          <w:rFonts w:hint="eastAsia" w:ascii="宋体" w:hAnsi="宋体" w:eastAsia="宋体" w:cs="宋体"/>
          <w:bCs/>
          <w:color w:val="auto"/>
          <w:szCs w:val="21"/>
        </w:rPr>
        <w:t>6. 安全文明施工与环境保护</w:t>
      </w:r>
      <w:bookmarkEnd w:id="124"/>
      <w:bookmarkEnd w:id="125"/>
      <w:bookmarkEnd w:id="126"/>
      <w:bookmarkEnd w:id="127"/>
      <w:bookmarkEnd w:id="128"/>
      <w:bookmarkEnd w:id="129"/>
    </w:p>
    <w:p w14:paraId="647F2B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6.1安全文明施工</w:t>
      </w:r>
    </w:p>
    <w:p w14:paraId="303DBE60">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6.1.1 项目安全生产的达标目标及相应事项的约定：</w:t>
      </w:r>
      <w:r>
        <w:rPr>
          <w:rFonts w:hint="eastAsia" w:ascii="宋体" w:hAnsi="宋体" w:eastAsia="宋体" w:cs="宋体"/>
          <w:color w:val="auto"/>
          <w:szCs w:val="21"/>
          <w:u w:val="single"/>
        </w:rPr>
        <w:t xml:space="preserve"> 执行《通用合同条款》6.1.1款</w:t>
      </w:r>
      <w:r>
        <w:rPr>
          <w:rFonts w:hint="eastAsia" w:ascii="宋体" w:hAnsi="宋体" w:eastAsia="宋体" w:cs="宋体"/>
          <w:color w:val="auto"/>
          <w:szCs w:val="21"/>
        </w:rPr>
        <w:t>。</w:t>
      </w:r>
    </w:p>
    <w:p w14:paraId="3D7361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6.1.4 关于治安保卫的特别约定：</w:t>
      </w:r>
      <w:r>
        <w:rPr>
          <w:rFonts w:hint="eastAsia" w:ascii="宋体" w:hAnsi="宋体" w:eastAsia="宋体" w:cs="宋体"/>
          <w:color w:val="auto"/>
          <w:szCs w:val="21"/>
          <w:u w:val="single"/>
        </w:rPr>
        <w:t>执行《通用合同条款》6.1.4款</w:t>
      </w:r>
      <w:r>
        <w:rPr>
          <w:rFonts w:hint="eastAsia" w:ascii="宋体" w:hAnsi="宋体" w:eastAsia="宋体" w:cs="宋体"/>
          <w:color w:val="auto"/>
          <w:szCs w:val="21"/>
        </w:rPr>
        <w:t>。</w:t>
      </w:r>
    </w:p>
    <w:p w14:paraId="16AD719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关于编制施工场地治安管理计划的约定：</w:t>
      </w:r>
      <w:r>
        <w:rPr>
          <w:rFonts w:hint="eastAsia" w:ascii="宋体" w:hAnsi="宋体" w:eastAsia="宋体" w:cs="宋体"/>
          <w:color w:val="auto"/>
          <w:szCs w:val="21"/>
          <w:u w:val="single"/>
        </w:rPr>
        <w:t xml:space="preserve">执行《通用合同条款》6.1.4款 </w:t>
      </w:r>
      <w:r>
        <w:rPr>
          <w:rFonts w:hint="eastAsia" w:ascii="宋体" w:hAnsi="宋体" w:eastAsia="宋体" w:cs="宋体"/>
          <w:color w:val="auto"/>
          <w:szCs w:val="21"/>
        </w:rPr>
        <w:t>。</w:t>
      </w:r>
    </w:p>
    <w:p w14:paraId="1E58A0B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6.1.5 文明施工</w:t>
      </w:r>
    </w:p>
    <w:p w14:paraId="1F82CFF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合同当事人对文明施工的要求：</w:t>
      </w:r>
      <w:r>
        <w:rPr>
          <w:rFonts w:hint="eastAsia" w:ascii="宋体" w:hAnsi="宋体" w:eastAsia="宋体" w:cs="宋体"/>
          <w:color w:val="auto"/>
          <w:szCs w:val="21"/>
          <w:u w:val="single"/>
        </w:rPr>
        <w:t xml:space="preserve"> 执行《通用合同条款》6.1.5款</w:t>
      </w:r>
      <w:r>
        <w:rPr>
          <w:rFonts w:hint="eastAsia" w:ascii="宋体" w:hAnsi="宋体" w:eastAsia="宋体" w:cs="宋体"/>
          <w:color w:val="auto"/>
          <w:szCs w:val="21"/>
        </w:rPr>
        <w:t>。</w:t>
      </w:r>
    </w:p>
    <w:p w14:paraId="771060B0">
      <w:p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6.1.6 关于安全文明施工费支付比例和支付期限的约定：</w:t>
      </w:r>
      <w:r>
        <w:rPr>
          <w:rFonts w:hint="eastAsia" w:ascii="宋体" w:hAnsi="宋体" w:eastAsia="宋体" w:cs="宋体"/>
          <w:color w:val="auto"/>
          <w:szCs w:val="21"/>
          <w:u w:val="single"/>
        </w:rPr>
        <w:t>发包人应当将建设工程安全文明施工措施费计入工程造价，并在开工前一次性给付承包人</w:t>
      </w:r>
      <w:r>
        <w:rPr>
          <w:rFonts w:hint="eastAsia" w:ascii="宋体" w:hAnsi="宋体" w:eastAsia="宋体" w:cs="宋体"/>
          <w:color w:val="auto"/>
          <w:szCs w:val="21"/>
          <w:u w:val="none"/>
        </w:rPr>
        <w:t>。</w:t>
      </w:r>
    </w:p>
    <w:p w14:paraId="180C439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6.1.7 承包人应做到安全文明施工费专款专用，不得挪作他用，发包人有权随时检查安全文明施工费的花费明细，承包人如果挪作他用，将处以2倍以上的违约金处罚，并在进度支付时直接扣除。</w:t>
      </w:r>
    </w:p>
    <w:bookmarkEnd w:id="117"/>
    <w:bookmarkEnd w:id="118"/>
    <w:bookmarkEnd w:id="119"/>
    <w:bookmarkEnd w:id="120"/>
    <w:bookmarkEnd w:id="121"/>
    <w:bookmarkEnd w:id="122"/>
    <w:bookmarkEnd w:id="123"/>
    <w:p w14:paraId="743AE12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30" w:name="_Toc22299"/>
      <w:bookmarkStart w:id="131" w:name="_Toc22716"/>
      <w:bookmarkStart w:id="132" w:name="_Toc8980"/>
      <w:bookmarkStart w:id="133" w:name="_Toc16307"/>
      <w:bookmarkStart w:id="134" w:name="_Toc23181"/>
      <w:bookmarkStart w:id="135" w:name="_Toc351203639"/>
      <w:r>
        <w:rPr>
          <w:rFonts w:hint="eastAsia" w:ascii="宋体" w:hAnsi="宋体" w:eastAsia="宋体" w:cs="宋体"/>
          <w:bCs/>
          <w:color w:val="auto"/>
          <w:szCs w:val="21"/>
        </w:rPr>
        <w:t>7. 工期和进度</w:t>
      </w:r>
      <w:bookmarkEnd w:id="130"/>
      <w:bookmarkEnd w:id="131"/>
      <w:bookmarkEnd w:id="132"/>
      <w:bookmarkEnd w:id="133"/>
      <w:bookmarkEnd w:id="134"/>
      <w:bookmarkEnd w:id="135"/>
    </w:p>
    <w:p w14:paraId="44C91AE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 施工组织设计</w:t>
      </w:r>
    </w:p>
    <w:p w14:paraId="0A6ACB9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7.1.1 合同当事人约定的施工组织设计应包括的其他内容：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61AF1A2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7.1.2 施工组织设计的提交和修改</w:t>
      </w:r>
    </w:p>
    <w:p w14:paraId="4CDCB13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承包人提交详细施工组织设计的期限的约定：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71098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发包人和监理人在收到详细的施工组织设计后确认或提出修改意见的期限：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4AB9A5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36" w:name="_Toc312677479"/>
      <w:bookmarkStart w:id="137" w:name="_Toc297216173"/>
      <w:bookmarkStart w:id="138" w:name="_Toc297123514"/>
      <w:bookmarkStart w:id="139" w:name="_Toc303539123"/>
      <w:bookmarkStart w:id="140" w:name="_Toc300934966"/>
      <w:bookmarkStart w:id="141" w:name="_Toc304295541"/>
      <w:bookmarkStart w:id="142" w:name="_Toc312678005"/>
      <w:r>
        <w:rPr>
          <w:rFonts w:hint="eastAsia" w:ascii="宋体" w:hAnsi="宋体" w:eastAsia="宋体" w:cs="宋体"/>
          <w:color w:val="auto"/>
          <w:szCs w:val="21"/>
        </w:rPr>
        <w:t>.2 施工进度计划</w:t>
      </w:r>
    </w:p>
    <w:p w14:paraId="253916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7.2.2 施工进度计划的修订</w:t>
      </w:r>
    </w:p>
    <w:p w14:paraId="49D9B0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发包人和监理人在收到修订的施工进度计划后确认或提出修改意见的期限：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25E96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 开工</w:t>
      </w:r>
    </w:p>
    <w:p w14:paraId="26A856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7.3.1 开工准备</w:t>
      </w:r>
    </w:p>
    <w:p w14:paraId="231435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关于承包人提交工程开工报审表的期限：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108F2C6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5E1352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037399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7.3.2开工通知</w:t>
      </w:r>
    </w:p>
    <w:p w14:paraId="77FBA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因发包人原因造成监理人未能在计划开工日期之日起</w:t>
      </w:r>
      <w:r>
        <w:rPr>
          <w:rFonts w:hint="eastAsia" w:ascii="宋体" w:hAnsi="宋体" w:eastAsia="宋体" w:cs="宋体"/>
          <w:color w:val="auto"/>
          <w:szCs w:val="21"/>
          <w:u w:val="single"/>
        </w:rPr>
        <w:t xml:space="preserve"> 7 </w:t>
      </w:r>
      <w:r>
        <w:rPr>
          <w:rFonts w:hint="eastAsia" w:ascii="宋体" w:hAnsi="宋体" w:eastAsia="宋体" w:cs="宋体"/>
          <w:color w:val="auto"/>
          <w:szCs w:val="21"/>
        </w:rPr>
        <w:t>天内发出开工通知的，承包人有权顺延工期。</w:t>
      </w:r>
    </w:p>
    <w:bookmarkEnd w:id="136"/>
    <w:bookmarkEnd w:id="137"/>
    <w:bookmarkEnd w:id="138"/>
    <w:bookmarkEnd w:id="139"/>
    <w:bookmarkEnd w:id="140"/>
    <w:bookmarkEnd w:id="141"/>
    <w:bookmarkEnd w:id="142"/>
    <w:p w14:paraId="6EC0526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7.4 测量放线</w:t>
      </w:r>
    </w:p>
    <w:p w14:paraId="6502EC5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7.4.1发包人通过监理人向承包人提供测量基准点、基准线和水准点及其书面资料的期限：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2637D3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43" w:name="_Toc304295546"/>
      <w:bookmarkStart w:id="144" w:name="_Toc303539125"/>
      <w:bookmarkStart w:id="145" w:name="_Toc300934968"/>
      <w:bookmarkStart w:id="146" w:name="_Toc297216175"/>
      <w:bookmarkStart w:id="147" w:name="_Toc297123516"/>
      <w:bookmarkStart w:id="148" w:name="_Toc312677484"/>
      <w:bookmarkStart w:id="149" w:name="_Toc312678010"/>
      <w:r>
        <w:rPr>
          <w:rFonts w:hint="eastAsia" w:ascii="宋体" w:hAnsi="宋体" w:eastAsia="宋体" w:cs="宋体"/>
          <w:color w:val="auto"/>
          <w:szCs w:val="21"/>
        </w:rPr>
        <w:t>.5 工期延误</w:t>
      </w:r>
    </w:p>
    <w:bookmarkEnd w:id="143"/>
    <w:bookmarkEnd w:id="144"/>
    <w:bookmarkEnd w:id="145"/>
    <w:bookmarkEnd w:id="146"/>
    <w:bookmarkEnd w:id="147"/>
    <w:bookmarkEnd w:id="148"/>
    <w:bookmarkEnd w:id="149"/>
    <w:p w14:paraId="1C9922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7.5.1 因发包人原因导致工期延误</w:t>
      </w:r>
    </w:p>
    <w:p w14:paraId="6F39410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（1）因发包人原因导致工期延误的其他情形：</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6C99BA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50" w:name="_Toc312678012"/>
      <w:bookmarkStart w:id="151" w:name="_Toc312677486"/>
      <w:bookmarkStart w:id="152" w:name="_Toc300934970"/>
      <w:bookmarkStart w:id="153" w:name="_Toc304295548"/>
      <w:bookmarkStart w:id="154" w:name="_Toc318581169"/>
      <w:bookmarkStart w:id="155" w:name="_Toc303539127"/>
      <w:bookmarkStart w:id="156" w:name="_Toc297123518"/>
      <w:bookmarkStart w:id="157" w:name="_Toc297216177"/>
      <w:r>
        <w:rPr>
          <w:rFonts w:hint="eastAsia" w:ascii="宋体" w:hAnsi="宋体" w:eastAsia="宋体" w:cs="宋体"/>
          <w:color w:val="auto"/>
          <w:szCs w:val="21"/>
        </w:rPr>
        <w:t>.5.2 因承包人原因导致工期延误</w:t>
      </w:r>
    </w:p>
    <w:bookmarkEnd w:id="150"/>
    <w:bookmarkEnd w:id="151"/>
    <w:bookmarkEnd w:id="152"/>
    <w:bookmarkEnd w:id="153"/>
    <w:bookmarkEnd w:id="154"/>
    <w:bookmarkEnd w:id="155"/>
    <w:bookmarkEnd w:id="156"/>
    <w:bookmarkEnd w:id="157"/>
    <w:p w14:paraId="2D5797DA">
      <w:pPr>
        <w:adjustRightInd w:val="0"/>
        <w:snapToGrid w:val="0"/>
        <w:spacing w:line="360" w:lineRule="auto"/>
        <w:ind w:firstLine="420" w:firstLineChars="200"/>
        <w:jc w:val="left"/>
        <w:rPr>
          <w:rFonts w:ascii="宋体" w:hAnsi="宋体" w:eastAsia="宋体" w:cs="宋体"/>
          <w:color w:val="auto"/>
          <w:kern w:val="0"/>
          <w:szCs w:val="21"/>
          <w:u w:val="single"/>
        </w:rPr>
      </w:pPr>
      <w:r>
        <w:rPr>
          <w:rFonts w:hint="eastAsia" w:ascii="宋体" w:hAnsi="宋体" w:eastAsia="宋体" w:cs="宋体"/>
          <w:color w:val="auto"/>
          <w:szCs w:val="21"/>
        </w:rPr>
        <w:t>因承包人原因造成工期延误，逾</w:t>
      </w:r>
      <w:bookmarkStart w:id="158" w:name="_Toc312678014"/>
      <w:bookmarkStart w:id="159" w:name="_Toc318581171"/>
      <w:r>
        <w:rPr>
          <w:rFonts w:hint="eastAsia" w:ascii="宋体" w:hAnsi="宋体" w:eastAsia="宋体" w:cs="宋体"/>
          <w:color w:val="auto"/>
          <w:szCs w:val="21"/>
        </w:rPr>
        <w:t>期竣工违约金的上限：</w:t>
      </w:r>
      <w:r>
        <w:rPr>
          <w:rFonts w:hint="eastAsia" w:ascii="宋体" w:hAnsi="宋体" w:eastAsia="宋体" w:cs="宋体"/>
          <w:color w:val="auto"/>
          <w:szCs w:val="21"/>
          <w:u w:val="single"/>
        </w:rPr>
        <w:t xml:space="preserve"> </w:t>
      </w:r>
      <w:r>
        <w:rPr>
          <w:rFonts w:hint="eastAsia" w:ascii="宋体" w:hAnsi="宋体" w:eastAsia="宋体" w:cs="宋体"/>
          <w:b/>
          <w:color w:val="auto"/>
          <w:kern w:val="0"/>
          <w:szCs w:val="21"/>
          <w:u w:val="single"/>
        </w:rPr>
        <w:t>承包人工期每延误一天按每天合同价款的0.02%罚款，由发包人直接从承包人的工程款中扣抵。工期延误最高限额为合同价款的3%。超过发包人规定的最后期限承包人未完成进度，发包人有权委托第三方施工，费用由原承包人承担</w:t>
      </w:r>
      <w:r>
        <w:rPr>
          <w:rFonts w:hint="eastAsia" w:ascii="宋体" w:hAnsi="宋体" w:eastAsia="宋体" w:cs="宋体"/>
          <w:b/>
          <w:color w:val="auto"/>
          <w:kern w:val="0"/>
          <w:szCs w:val="21"/>
        </w:rPr>
        <w:t xml:space="preserve">。  </w:t>
      </w:r>
      <w:r>
        <w:rPr>
          <w:rFonts w:hint="eastAsia" w:ascii="宋体" w:hAnsi="宋体" w:eastAsia="宋体" w:cs="宋体"/>
          <w:color w:val="auto"/>
          <w:szCs w:val="21"/>
        </w:rPr>
        <w:t xml:space="preserve">  </w:t>
      </w:r>
    </w:p>
    <w:bookmarkEnd w:id="158"/>
    <w:bookmarkEnd w:id="159"/>
    <w:p w14:paraId="7BA911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60" w:name="_Toc300934971"/>
      <w:bookmarkStart w:id="161" w:name="_Toc297216178"/>
      <w:bookmarkStart w:id="162" w:name="_Toc297123519"/>
      <w:bookmarkStart w:id="163" w:name="_Toc304295549"/>
      <w:bookmarkStart w:id="164" w:name="_Toc303539128"/>
      <w:bookmarkStart w:id="165" w:name="_Toc312678015"/>
      <w:r>
        <w:rPr>
          <w:rFonts w:hint="eastAsia" w:ascii="宋体" w:hAnsi="宋体" w:eastAsia="宋体" w:cs="宋体"/>
          <w:color w:val="auto"/>
          <w:szCs w:val="21"/>
        </w:rPr>
        <w:t>.6 不</w:t>
      </w:r>
      <w:bookmarkEnd w:id="160"/>
      <w:bookmarkEnd w:id="161"/>
      <w:bookmarkEnd w:id="162"/>
      <w:bookmarkEnd w:id="163"/>
      <w:bookmarkEnd w:id="164"/>
      <w:bookmarkEnd w:id="165"/>
      <w:r>
        <w:rPr>
          <w:rFonts w:hint="eastAsia" w:ascii="宋体" w:hAnsi="宋体" w:eastAsia="宋体" w:cs="宋体"/>
          <w:color w:val="auto"/>
          <w:szCs w:val="21"/>
        </w:rPr>
        <w:t>利物质条件</w:t>
      </w:r>
    </w:p>
    <w:p w14:paraId="6C283ECA">
      <w:pPr>
        <w:adjustRightInd w:val="0"/>
        <w:snapToGrid w:val="0"/>
        <w:spacing w:line="360" w:lineRule="auto"/>
        <w:ind w:firstLine="420" w:firstLineChars="200"/>
        <w:rPr>
          <w:rFonts w:ascii="宋体" w:hAnsi="宋体" w:eastAsia="宋体" w:cs="宋体"/>
          <w:color w:val="auto"/>
          <w:szCs w:val="21"/>
        </w:rPr>
      </w:pPr>
      <w:bookmarkStart w:id="166" w:name="_Toc303539129"/>
      <w:bookmarkStart w:id="167" w:name="_Toc297216179"/>
      <w:bookmarkStart w:id="168" w:name="_Toc312678016"/>
      <w:bookmarkStart w:id="169" w:name="_Toc304295550"/>
      <w:bookmarkStart w:id="170" w:name="_Toc300934972"/>
      <w:bookmarkStart w:id="171" w:name="_Toc297123520"/>
      <w:bookmarkStart w:id="172" w:name="_Toc318581172"/>
      <w:r>
        <w:rPr>
          <w:rFonts w:hint="eastAsia" w:ascii="宋体" w:hAnsi="宋体" w:eastAsia="宋体" w:cs="宋体"/>
          <w:color w:val="auto"/>
          <w:szCs w:val="21"/>
        </w:rPr>
        <w:t>不利物质条件的其他情形和有关约定：</w:t>
      </w:r>
      <w:r>
        <w:rPr>
          <w:rFonts w:hint="eastAsia" w:ascii="宋体" w:hAnsi="宋体" w:eastAsia="宋体" w:cs="宋体"/>
          <w:color w:val="auto"/>
          <w:szCs w:val="21"/>
          <w:u w:val="single"/>
        </w:rPr>
        <w:t>因其它主业或工种未完工，导致该工程无法开工或因发包人原因无法开工，工期应顺延</w:t>
      </w:r>
      <w:r>
        <w:rPr>
          <w:rFonts w:hint="eastAsia" w:ascii="宋体" w:hAnsi="宋体" w:eastAsia="宋体" w:cs="宋体"/>
          <w:color w:val="auto"/>
          <w:szCs w:val="21"/>
        </w:rPr>
        <w:t>。</w:t>
      </w:r>
    </w:p>
    <w:bookmarkEnd w:id="166"/>
    <w:bookmarkEnd w:id="167"/>
    <w:bookmarkEnd w:id="168"/>
    <w:bookmarkEnd w:id="169"/>
    <w:bookmarkEnd w:id="170"/>
    <w:bookmarkEnd w:id="171"/>
    <w:bookmarkEnd w:id="172"/>
    <w:p w14:paraId="43A6731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73" w:name="_Toc304295551"/>
      <w:bookmarkStart w:id="174" w:name="_Toc297216180"/>
      <w:bookmarkStart w:id="175" w:name="_Toc300934973"/>
      <w:bookmarkStart w:id="176" w:name="_Toc312678017"/>
      <w:bookmarkStart w:id="177" w:name="_Toc297123521"/>
      <w:bookmarkStart w:id="178" w:name="_Toc303539130"/>
      <w:r>
        <w:rPr>
          <w:rFonts w:hint="eastAsia" w:ascii="宋体" w:hAnsi="宋体" w:eastAsia="宋体" w:cs="宋体"/>
          <w:color w:val="auto"/>
          <w:szCs w:val="21"/>
        </w:rPr>
        <w:t>.7异常恶劣的气候条件</w:t>
      </w:r>
    </w:p>
    <w:bookmarkEnd w:id="173"/>
    <w:bookmarkEnd w:id="174"/>
    <w:bookmarkEnd w:id="175"/>
    <w:bookmarkEnd w:id="176"/>
    <w:bookmarkEnd w:id="177"/>
    <w:bookmarkEnd w:id="178"/>
    <w:p w14:paraId="68E015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发包人和承包人同意以下情形视为异常恶劣的气候条件：</w:t>
      </w:r>
    </w:p>
    <w:p w14:paraId="23F4A5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DF85EE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72743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0C6047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 提前竣工的奖励</w:t>
      </w:r>
    </w:p>
    <w:p w14:paraId="46D760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7.9.2提前竣工的奖励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366FDD3">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79" w:name="_Toc351203640"/>
      <w:bookmarkStart w:id="180" w:name="_Toc12198"/>
      <w:bookmarkStart w:id="181" w:name="_Toc2712"/>
      <w:bookmarkStart w:id="182" w:name="_Toc14747"/>
      <w:bookmarkStart w:id="183" w:name="_Toc6951"/>
      <w:bookmarkStart w:id="184" w:name="_Toc29085"/>
      <w:r>
        <w:rPr>
          <w:rFonts w:hint="eastAsia" w:ascii="宋体" w:hAnsi="宋体" w:eastAsia="宋体" w:cs="宋体"/>
          <w:bCs/>
          <w:color w:val="auto"/>
          <w:szCs w:val="21"/>
        </w:rPr>
        <w:t>8. 材料与设备</w:t>
      </w:r>
      <w:bookmarkEnd w:id="179"/>
      <w:bookmarkEnd w:id="180"/>
      <w:bookmarkEnd w:id="181"/>
      <w:bookmarkEnd w:id="182"/>
      <w:bookmarkEnd w:id="183"/>
      <w:bookmarkEnd w:id="184"/>
    </w:p>
    <w:bookmarkEnd w:id="107"/>
    <w:bookmarkEnd w:id="108"/>
    <w:bookmarkEnd w:id="109"/>
    <w:bookmarkEnd w:id="110"/>
    <w:bookmarkEnd w:id="111"/>
    <w:bookmarkEnd w:id="112"/>
    <w:bookmarkEnd w:id="113"/>
    <w:bookmarkEnd w:id="114"/>
    <w:bookmarkEnd w:id="115"/>
    <w:bookmarkEnd w:id="116"/>
    <w:p w14:paraId="70ACEE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185" w:name="_Toc304295556"/>
      <w:bookmarkStart w:id="186" w:name="_Toc296347166"/>
      <w:bookmarkStart w:id="187" w:name="_Toc296346668"/>
      <w:bookmarkStart w:id="188" w:name="_Toc292559372"/>
      <w:bookmarkStart w:id="189" w:name="_Toc296890995"/>
      <w:bookmarkStart w:id="190" w:name="_Toc296944506"/>
      <w:bookmarkStart w:id="191" w:name="_Toc297123527"/>
      <w:bookmarkStart w:id="192" w:name="_Toc292559877"/>
      <w:bookmarkStart w:id="193" w:name="_Toc297216186"/>
      <w:bookmarkStart w:id="194" w:name="_Toc312677493"/>
      <w:bookmarkStart w:id="195" w:name="_Toc300934979"/>
      <w:bookmarkStart w:id="196" w:name="_Toc296891207"/>
      <w:bookmarkStart w:id="197" w:name="_Toc312678019"/>
      <w:bookmarkStart w:id="198" w:name="_Toc296503167"/>
      <w:bookmarkStart w:id="199" w:name="_Toc280868654"/>
      <w:bookmarkStart w:id="200" w:name="_Toc297048353"/>
      <w:bookmarkStart w:id="201" w:name="_Toc303539136"/>
      <w:bookmarkStart w:id="202" w:name="_Toc297120467"/>
      <w:bookmarkStart w:id="203" w:name="_Toc280868655"/>
      <w:bookmarkStart w:id="204" w:name="_Toc267251424"/>
      <w:bookmarkStart w:id="205" w:name="_Toc280868656"/>
      <w:r>
        <w:rPr>
          <w:rFonts w:hint="eastAsia" w:ascii="宋体" w:hAnsi="宋体" w:eastAsia="宋体" w:cs="宋体"/>
          <w:color w:val="auto"/>
          <w:szCs w:val="21"/>
        </w:rPr>
        <w:t>.4材料与工程设备的保管与使用</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3EF4BC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206" w:name="_Toc292559878"/>
      <w:bookmarkStart w:id="207" w:name="_Toc292559373"/>
      <w:bookmarkStart w:id="208" w:name="_Toc296891208"/>
      <w:bookmarkStart w:id="209" w:name="_Toc296890996"/>
      <w:bookmarkStart w:id="210" w:name="_Toc297123528"/>
      <w:bookmarkStart w:id="211" w:name="_Toc304295557"/>
      <w:bookmarkStart w:id="212" w:name="_Toc312677494"/>
      <w:bookmarkStart w:id="213" w:name="_Toc296346669"/>
      <w:bookmarkStart w:id="214" w:name="_Toc296503168"/>
      <w:bookmarkStart w:id="215" w:name="_Toc300934980"/>
      <w:bookmarkStart w:id="216" w:name="_Toc296944507"/>
      <w:bookmarkStart w:id="217" w:name="_Toc318581173"/>
      <w:bookmarkStart w:id="218" w:name="_Toc296347167"/>
      <w:bookmarkStart w:id="219" w:name="_Toc312678020"/>
      <w:bookmarkStart w:id="220" w:name="_Toc303539137"/>
      <w:bookmarkStart w:id="221" w:name="_Toc297216187"/>
      <w:bookmarkStart w:id="222" w:name="_Toc297120468"/>
      <w:bookmarkStart w:id="223" w:name="_Toc297048354"/>
      <w:r>
        <w:rPr>
          <w:rFonts w:hint="eastAsia" w:ascii="宋体" w:hAnsi="宋体" w:eastAsia="宋体" w:cs="宋体"/>
          <w:color w:val="auto"/>
          <w:szCs w:val="21"/>
        </w:rPr>
        <w:t>.4.1发包人供应的材料设备的保管费用的承担：</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bookmarkEnd w:id="206"/>
      <w:bookmarkEnd w:id="207"/>
    </w:p>
    <w:p w14:paraId="2DCC2E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 样品</w:t>
      </w:r>
    </w:p>
    <w:p w14:paraId="0464077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8.6.1</w:t>
      </w:r>
      <w:r>
        <w:rPr>
          <w:rFonts w:hint="eastAsia" w:ascii="宋体" w:hAnsi="宋体" w:eastAsia="宋体" w:cs="宋体"/>
          <w:color w:val="auto"/>
          <w:szCs w:val="21"/>
        </w:rPr>
        <w:tab/>
      </w:r>
      <w:r>
        <w:rPr>
          <w:rFonts w:hint="eastAsia" w:ascii="宋体" w:hAnsi="宋体" w:eastAsia="宋体" w:cs="宋体"/>
          <w:color w:val="auto"/>
          <w:szCs w:val="21"/>
        </w:rPr>
        <w:t>样品的报送与封存</w:t>
      </w:r>
    </w:p>
    <w:p w14:paraId="2D6258E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需要承包人报送样品的材料或工程设备，样品的种类、名称、规格、数量要求：</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7FB5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 施工设备和临时设施</w:t>
      </w:r>
    </w:p>
    <w:p w14:paraId="0450C3D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8.8.1 承包人提供的施工设备和临时设施</w:t>
      </w:r>
    </w:p>
    <w:p w14:paraId="184147D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关于修建临时设施费用承担的约定：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5AB785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24" w:name="_Toc26474"/>
      <w:bookmarkStart w:id="225" w:name="_Toc18019"/>
      <w:bookmarkStart w:id="226" w:name="_Toc8420"/>
      <w:bookmarkStart w:id="227" w:name="_Toc20388"/>
      <w:bookmarkStart w:id="228" w:name="_Toc351203641"/>
      <w:bookmarkStart w:id="229" w:name="_Toc9680"/>
      <w:r>
        <w:rPr>
          <w:rFonts w:hint="eastAsia" w:ascii="宋体" w:hAnsi="宋体" w:eastAsia="宋体" w:cs="宋体"/>
          <w:bCs/>
          <w:color w:val="auto"/>
          <w:szCs w:val="21"/>
        </w:rPr>
        <w:t>9</w:t>
      </w:r>
      <w:bookmarkEnd w:id="203"/>
      <w:bookmarkEnd w:id="204"/>
      <w:bookmarkEnd w:id="205"/>
      <w:bookmarkStart w:id="230" w:name="_Toc297216192"/>
      <w:bookmarkStart w:id="231" w:name="_Toc300934982"/>
      <w:bookmarkStart w:id="232" w:name="_Toc303539139"/>
      <w:bookmarkStart w:id="233" w:name="_Toc297123533"/>
      <w:bookmarkStart w:id="234" w:name="_Toc304295559"/>
      <w:bookmarkStart w:id="235" w:name="_Toc312677495"/>
      <w:bookmarkStart w:id="236" w:name="_Toc312678021"/>
      <w:bookmarkStart w:id="237" w:name="_Toc267251427"/>
      <w:bookmarkStart w:id="238" w:name="_Toc296944512"/>
      <w:bookmarkStart w:id="239" w:name="_Toc296346674"/>
      <w:bookmarkStart w:id="240" w:name="_Toc296891213"/>
      <w:bookmarkStart w:id="241" w:name="_Toc292559883"/>
      <w:bookmarkStart w:id="242" w:name="_Toc292559378"/>
      <w:bookmarkStart w:id="243" w:name="_Toc297120473"/>
      <w:bookmarkStart w:id="244" w:name="_Toc297048359"/>
      <w:bookmarkStart w:id="245" w:name="_Toc267251428"/>
      <w:bookmarkStart w:id="246" w:name="_Toc296347172"/>
      <w:bookmarkStart w:id="247" w:name="_Toc296503173"/>
      <w:bookmarkStart w:id="248" w:name="_Toc296891001"/>
      <w:r>
        <w:rPr>
          <w:rFonts w:hint="eastAsia" w:ascii="宋体" w:hAnsi="宋体" w:eastAsia="宋体" w:cs="宋体"/>
          <w:bCs/>
          <w:color w:val="auto"/>
          <w:szCs w:val="21"/>
        </w:rPr>
        <w:t>. 试验与检验</w:t>
      </w:r>
      <w:bookmarkEnd w:id="224"/>
      <w:bookmarkEnd w:id="225"/>
      <w:bookmarkEnd w:id="226"/>
      <w:bookmarkEnd w:id="227"/>
      <w:bookmarkEnd w:id="228"/>
      <w:bookmarkEnd w:id="229"/>
    </w:p>
    <w:bookmarkEnd w:id="230"/>
    <w:bookmarkEnd w:id="231"/>
    <w:bookmarkEnd w:id="232"/>
    <w:bookmarkEnd w:id="233"/>
    <w:bookmarkEnd w:id="234"/>
    <w:bookmarkEnd w:id="235"/>
    <w:bookmarkEnd w:id="236"/>
    <w:p w14:paraId="2436FAB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49" w:name="_Toc312678022"/>
      <w:bookmarkStart w:id="250" w:name="_Toc312677496"/>
      <w:bookmarkStart w:id="251" w:name="_Toc303539140"/>
      <w:bookmarkStart w:id="252" w:name="_Toc304295560"/>
      <w:bookmarkStart w:id="253" w:name="_Toc300934983"/>
      <w:bookmarkStart w:id="254" w:name="_Toc297216193"/>
      <w:bookmarkStart w:id="255" w:name="_Toc297123534"/>
      <w:r>
        <w:rPr>
          <w:rFonts w:hint="eastAsia" w:ascii="宋体" w:hAnsi="宋体" w:eastAsia="宋体" w:cs="宋体"/>
          <w:color w:val="auto"/>
          <w:szCs w:val="21"/>
        </w:rPr>
        <w:t>.1试验设备与试验人员</w:t>
      </w:r>
    </w:p>
    <w:bookmarkEnd w:id="249"/>
    <w:bookmarkEnd w:id="250"/>
    <w:bookmarkEnd w:id="251"/>
    <w:bookmarkEnd w:id="252"/>
    <w:bookmarkEnd w:id="253"/>
    <w:bookmarkEnd w:id="254"/>
    <w:bookmarkEnd w:id="255"/>
    <w:p w14:paraId="50FA408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56" w:name="_Toc312678023"/>
      <w:bookmarkStart w:id="257" w:name="_Toc297123535"/>
      <w:bookmarkStart w:id="258" w:name="_Toc312677497"/>
      <w:bookmarkStart w:id="259" w:name="_Toc304295561"/>
      <w:bookmarkStart w:id="260" w:name="_Toc303539141"/>
      <w:bookmarkStart w:id="261" w:name="_Toc297216194"/>
      <w:bookmarkStart w:id="262" w:name="_Toc300934984"/>
      <w:bookmarkStart w:id="263" w:name="_Toc318581174"/>
      <w:r>
        <w:rPr>
          <w:rFonts w:hint="eastAsia" w:ascii="宋体" w:hAnsi="宋体" w:eastAsia="宋体" w:cs="宋体"/>
          <w:color w:val="auto"/>
          <w:szCs w:val="21"/>
        </w:rPr>
        <w:t>.1.2 试验设备</w:t>
      </w:r>
    </w:p>
    <w:p w14:paraId="25CDCB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施工现场需要配置的试验场所：</w:t>
      </w:r>
      <w:bookmarkEnd w:id="256"/>
      <w:bookmarkEnd w:id="257"/>
      <w:bookmarkEnd w:id="258"/>
      <w:bookmarkEnd w:id="259"/>
      <w:bookmarkEnd w:id="260"/>
      <w:bookmarkEnd w:id="261"/>
      <w:bookmarkEnd w:id="262"/>
      <w:bookmarkStart w:id="264" w:name="_Toc312677498"/>
      <w:bookmarkStart w:id="265" w:name="_Toc303539142"/>
      <w:bookmarkStart w:id="266" w:name="_Toc312678024"/>
      <w:bookmarkStart w:id="267" w:name="_Toc297216195"/>
      <w:bookmarkStart w:id="268" w:name="_Toc297123536"/>
      <w:bookmarkStart w:id="269" w:name="_Toc300934985"/>
      <w:bookmarkStart w:id="270" w:name="_Toc304295562"/>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 xml:space="preserve">。 </w:t>
      </w:r>
    </w:p>
    <w:p w14:paraId="5609EB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施工现场需要配备的试验设备：</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9E7B8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施工现场需要具备的其他试验条件：</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25FF54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9.4 现场工艺试验 </w:t>
      </w:r>
    </w:p>
    <w:p w14:paraId="0F8DFD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现场工艺试验的有关约定：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63"/>
    <w:bookmarkEnd w:id="264"/>
    <w:bookmarkEnd w:id="265"/>
    <w:bookmarkEnd w:id="266"/>
    <w:bookmarkEnd w:id="267"/>
    <w:bookmarkEnd w:id="268"/>
    <w:bookmarkEnd w:id="269"/>
    <w:bookmarkEnd w:id="270"/>
    <w:p w14:paraId="5A3ACFA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71" w:name="_Toc14426"/>
      <w:bookmarkStart w:id="272" w:name="_Toc22620"/>
      <w:bookmarkStart w:id="273" w:name="_Toc28780"/>
      <w:bookmarkStart w:id="274" w:name="_Toc351203642"/>
      <w:bookmarkStart w:id="275" w:name="_Toc25698"/>
      <w:bookmarkStart w:id="276" w:name="_Toc24743"/>
      <w:r>
        <w:rPr>
          <w:rFonts w:hint="eastAsia" w:ascii="宋体" w:hAnsi="宋体" w:eastAsia="宋体" w:cs="宋体"/>
          <w:bCs/>
          <w:color w:val="auto"/>
          <w:szCs w:val="21"/>
        </w:rPr>
        <w:t>1</w:t>
      </w:r>
      <w:bookmarkEnd w:id="237"/>
      <w:bookmarkEnd w:id="238"/>
      <w:bookmarkEnd w:id="239"/>
      <w:bookmarkEnd w:id="240"/>
      <w:bookmarkEnd w:id="241"/>
      <w:bookmarkEnd w:id="242"/>
      <w:bookmarkEnd w:id="243"/>
      <w:bookmarkEnd w:id="244"/>
      <w:bookmarkEnd w:id="245"/>
      <w:bookmarkEnd w:id="246"/>
      <w:bookmarkEnd w:id="247"/>
      <w:bookmarkEnd w:id="248"/>
      <w:bookmarkStart w:id="277" w:name="_Toc296891233"/>
      <w:bookmarkStart w:id="278" w:name="_Toc303539146"/>
      <w:bookmarkStart w:id="279" w:name="_Toc296347192"/>
      <w:bookmarkStart w:id="280" w:name="_Toc297123540"/>
      <w:bookmarkStart w:id="281" w:name="_Toc292559398"/>
      <w:bookmarkStart w:id="282" w:name="_Toc296944532"/>
      <w:bookmarkStart w:id="283" w:name="_Toc297048379"/>
      <w:bookmarkStart w:id="284" w:name="_Toc296891021"/>
      <w:bookmarkStart w:id="285" w:name="_Toc304295566"/>
      <w:bookmarkStart w:id="286" w:name="_Toc296503193"/>
      <w:bookmarkStart w:id="287" w:name="_Toc297120493"/>
      <w:bookmarkStart w:id="288" w:name="_Toc296346694"/>
      <w:bookmarkStart w:id="289" w:name="_Toc292559903"/>
      <w:bookmarkStart w:id="290" w:name="_Toc300934989"/>
      <w:bookmarkStart w:id="291" w:name="_Toc297216199"/>
      <w:bookmarkStart w:id="292" w:name="_Toc312678025"/>
      <w:bookmarkStart w:id="293" w:name="_Toc312677499"/>
      <w:bookmarkStart w:id="294" w:name="_Toc267251435"/>
      <w:bookmarkStart w:id="295" w:name="_Toc267251439"/>
      <w:bookmarkStart w:id="296" w:name="_Toc267251441"/>
      <w:bookmarkStart w:id="297" w:name="_Toc267251433"/>
      <w:bookmarkStart w:id="298" w:name="_Toc267251437"/>
      <w:bookmarkStart w:id="299" w:name="_Toc267251440"/>
      <w:bookmarkStart w:id="300" w:name="_Toc267251442"/>
      <w:r>
        <w:rPr>
          <w:rFonts w:hint="eastAsia" w:ascii="宋体" w:hAnsi="宋体" w:eastAsia="宋体" w:cs="宋体"/>
          <w:bCs/>
          <w:color w:val="auto"/>
          <w:szCs w:val="21"/>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4BECB61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01" w:name="_Toc296346695"/>
      <w:bookmarkStart w:id="302" w:name="_Toc297048380"/>
      <w:bookmarkStart w:id="303" w:name="_Toc296891234"/>
      <w:bookmarkStart w:id="304" w:name="_Toc296891022"/>
      <w:bookmarkStart w:id="305" w:name="_Toc297120494"/>
      <w:bookmarkStart w:id="306" w:name="_Toc300934990"/>
      <w:bookmarkStart w:id="307" w:name="_Toc312678026"/>
      <w:bookmarkStart w:id="308" w:name="_Toc304295567"/>
      <w:bookmarkStart w:id="309" w:name="_Toc312677500"/>
      <w:bookmarkStart w:id="310" w:name="_Toc292559399"/>
      <w:bookmarkStart w:id="311" w:name="_Toc297216200"/>
      <w:bookmarkStart w:id="312" w:name="_Toc296347193"/>
      <w:bookmarkStart w:id="313" w:name="_Toc296503194"/>
      <w:bookmarkStart w:id="314" w:name="_Toc292559904"/>
      <w:bookmarkStart w:id="315" w:name="_Toc297123541"/>
      <w:bookmarkStart w:id="316" w:name="_Toc296944533"/>
      <w:bookmarkStart w:id="317" w:name="_Toc303539147"/>
      <w:r>
        <w:rPr>
          <w:rFonts w:hint="eastAsia" w:ascii="宋体" w:hAnsi="宋体" w:eastAsia="宋体" w:cs="宋体"/>
          <w:color w:val="auto"/>
          <w:szCs w:val="21"/>
        </w:rPr>
        <w:t>0.1变更的范围</w:t>
      </w:r>
    </w:p>
    <w:p w14:paraId="18074F1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关于变更的范围的约定：</w:t>
      </w:r>
      <w:r>
        <w:rPr>
          <w:rFonts w:hint="eastAsia" w:ascii="宋体" w:hAnsi="宋体" w:eastAsia="宋体" w:cs="宋体"/>
          <w:color w:val="auto"/>
          <w:spacing w:val="-17"/>
          <w:szCs w:val="21"/>
          <w:u w:val="single"/>
        </w:rPr>
        <w:t xml:space="preserve">执行《通用合同条款》10.1款所有内容 </w:t>
      </w:r>
      <w:r>
        <w:rPr>
          <w:rFonts w:hint="eastAsia" w:ascii="宋体" w:hAnsi="宋体" w:eastAsia="宋体" w:cs="宋体"/>
          <w:color w:val="auto"/>
          <w:spacing w:val="-17"/>
          <w:szCs w:val="21"/>
        </w:rPr>
        <w:t>。</w:t>
      </w:r>
    </w:p>
    <w:p w14:paraId="511ED48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 变更估价</w:t>
      </w:r>
    </w:p>
    <w:p w14:paraId="48322D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10.4.1 变更估价原则</w:t>
      </w:r>
    </w:p>
    <w:p w14:paraId="4B850CE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关于变更估价的约定: </w:t>
      </w:r>
    </w:p>
    <w:p w14:paraId="116FE2EF">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3CE8478">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5EE96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503197"/>
      <w:bookmarkStart w:id="319" w:name="_Toc297048383"/>
      <w:bookmarkStart w:id="320" w:name="_Toc292559907"/>
      <w:bookmarkStart w:id="321" w:name="_Toc297123544"/>
      <w:bookmarkStart w:id="322" w:name="_Toc296891237"/>
      <w:bookmarkStart w:id="323" w:name="_Toc296346698"/>
      <w:bookmarkStart w:id="324" w:name="_Toc297120497"/>
      <w:bookmarkStart w:id="325" w:name="_Toc296891025"/>
      <w:bookmarkStart w:id="326" w:name="_Toc303539150"/>
      <w:bookmarkStart w:id="327" w:name="_Toc296944536"/>
      <w:bookmarkStart w:id="328" w:name="_Toc297216203"/>
      <w:bookmarkStart w:id="329" w:name="_Toc296347196"/>
      <w:bookmarkStart w:id="330" w:name="_Toc300934993"/>
      <w:bookmarkStart w:id="331" w:name="_Toc292559402"/>
      <w:bookmarkStart w:id="332" w:name="_Toc312678029"/>
      <w:bookmarkStart w:id="333" w:name="_Toc304295570"/>
      <w:bookmarkStart w:id="334" w:name="_Toc312677503"/>
      <w:r>
        <w:rPr>
          <w:rFonts w:hint="eastAsia" w:ascii="宋体" w:hAnsi="宋体" w:eastAsia="宋体" w:cs="宋体"/>
          <w:color w:val="auto"/>
          <w:szCs w:val="21"/>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6503203"/>
      <w:bookmarkStart w:id="336" w:name="_Toc297216204"/>
      <w:bookmarkStart w:id="337" w:name="_Toc303539151"/>
      <w:bookmarkStart w:id="338" w:name="_Toc297048389"/>
      <w:bookmarkStart w:id="339" w:name="_Toc296891243"/>
      <w:bookmarkStart w:id="340" w:name="_Toc297123545"/>
      <w:bookmarkStart w:id="341" w:name="_Toc300934994"/>
      <w:bookmarkStart w:id="342" w:name="_Toc296944542"/>
      <w:bookmarkStart w:id="343" w:name="_Toc296346704"/>
      <w:bookmarkStart w:id="344" w:name="_Toc292559408"/>
      <w:bookmarkStart w:id="345" w:name="_Toc292559913"/>
      <w:bookmarkStart w:id="346" w:name="_Toc297120503"/>
      <w:bookmarkStart w:id="347" w:name="_Toc296891031"/>
      <w:bookmarkStart w:id="348" w:name="_Toc296347202"/>
      <w:r>
        <w:rPr>
          <w:rFonts w:hint="eastAsia" w:ascii="宋体" w:hAnsi="宋体" w:eastAsia="宋体" w:cs="宋体"/>
          <w:color w:val="auto"/>
          <w:szCs w:val="21"/>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2C275A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监理人审查承包人合理化建议的期限：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6FB62C8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4BFADF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w:t>
      </w:r>
      <w:bookmarkStart w:id="349" w:name="_Toc312678030"/>
      <w:bookmarkStart w:id="350" w:name="_Toc296347203"/>
      <w:bookmarkStart w:id="351" w:name="_Toc296944543"/>
      <w:bookmarkStart w:id="352" w:name="_Toc296891244"/>
      <w:bookmarkStart w:id="353" w:name="_Toc318581175"/>
      <w:bookmarkStart w:id="354" w:name="_Toc312677504"/>
      <w:bookmarkStart w:id="355" w:name="_Toc297216205"/>
      <w:bookmarkStart w:id="356" w:name="_Toc297123546"/>
      <w:bookmarkStart w:id="357" w:name="_Toc296346705"/>
      <w:bookmarkStart w:id="358" w:name="_Toc292559914"/>
      <w:bookmarkStart w:id="359" w:name="_Toc297120504"/>
      <w:bookmarkStart w:id="360" w:name="_Toc297048390"/>
      <w:bookmarkStart w:id="361" w:name="_Toc303539152"/>
      <w:bookmarkStart w:id="362" w:name="_Toc300934995"/>
      <w:bookmarkStart w:id="363" w:name="_Toc304295571"/>
      <w:bookmarkStart w:id="364" w:name="_Toc296503204"/>
      <w:bookmarkStart w:id="365" w:name="_Toc296891032"/>
      <w:bookmarkStart w:id="366" w:name="_Toc292559409"/>
      <w:r>
        <w:rPr>
          <w:rFonts w:hint="eastAsia" w:ascii="宋体" w:hAnsi="宋体" w:eastAsia="宋体" w:cs="宋体"/>
          <w:color w:val="auto"/>
          <w:szCs w:val="21"/>
        </w:rPr>
        <w:t>包人提出的合理化建议降低了合同价格或者提高了工程经济效益的奖励的方法和金额为：</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A1C1BA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67" w:name="_Toc297048385"/>
      <w:bookmarkStart w:id="368" w:name="_Toc304295574"/>
      <w:bookmarkStart w:id="369" w:name="_Toc312678033"/>
      <w:bookmarkStart w:id="370" w:name="_Toc296503199"/>
      <w:bookmarkStart w:id="371" w:name="_Toc296944538"/>
      <w:bookmarkStart w:id="372" w:name="_Toc296891239"/>
      <w:bookmarkStart w:id="373" w:name="_Toc296346700"/>
      <w:bookmarkStart w:id="374" w:name="_Toc297123548"/>
      <w:bookmarkStart w:id="375" w:name="_Toc312677507"/>
      <w:bookmarkStart w:id="376" w:name="_Toc297120499"/>
      <w:bookmarkStart w:id="377" w:name="_Toc297216207"/>
      <w:bookmarkStart w:id="378" w:name="_Toc300934997"/>
      <w:bookmarkStart w:id="379" w:name="_Toc296891027"/>
      <w:bookmarkStart w:id="380" w:name="_Toc296347198"/>
      <w:bookmarkStart w:id="381" w:name="_Toc292559404"/>
      <w:bookmarkStart w:id="382" w:name="_Toc303539154"/>
      <w:bookmarkStart w:id="383" w:name="_Toc292559909"/>
      <w:r>
        <w:rPr>
          <w:rFonts w:hint="eastAsia" w:ascii="宋体" w:hAnsi="宋体" w:eastAsia="宋体" w:cs="宋体"/>
          <w:color w:val="auto"/>
          <w:szCs w:val="21"/>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64540E5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暂</w:t>
      </w:r>
      <w:bookmarkStart w:id="384" w:name="_Toc312678034"/>
      <w:bookmarkStart w:id="385" w:name="_Toc312677508"/>
      <w:bookmarkStart w:id="386" w:name="_Toc318581176"/>
      <w:r>
        <w:rPr>
          <w:rFonts w:hint="eastAsia" w:ascii="宋体" w:hAnsi="宋体" w:eastAsia="宋体" w:cs="宋体"/>
          <w:color w:val="auto"/>
          <w:szCs w:val="21"/>
        </w:rPr>
        <w:t>估价材料和工程设备的明细详见附件11：《暂估价一览表》。</w:t>
      </w:r>
    </w:p>
    <w:bookmarkEnd w:id="384"/>
    <w:bookmarkEnd w:id="385"/>
    <w:bookmarkEnd w:id="386"/>
    <w:p w14:paraId="5AE7287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87" w:name="_Toc312678035"/>
      <w:bookmarkStart w:id="388" w:name="_Toc318581177"/>
      <w:bookmarkStart w:id="389" w:name="_Toc312677509"/>
      <w:r>
        <w:rPr>
          <w:rFonts w:hint="eastAsia" w:ascii="宋体" w:hAnsi="宋体" w:eastAsia="宋体" w:cs="宋体"/>
          <w:color w:val="auto"/>
          <w:szCs w:val="21"/>
        </w:rPr>
        <w:t>0.7.1 依法必须招标的暂估价项目</w:t>
      </w:r>
    </w:p>
    <w:bookmarkEnd w:id="387"/>
    <w:bookmarkEnd w:id="388"/>
    <w:bookmarkEnd w:id="389"/>
    <w:p w14:paraId="41C09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44088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10.7.2 不属于依法必须招标的暂估价项目</w:t>
      </w:r>
    </w:p>
    <w:p w14:paraId="3B9BCA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对于不属于依法必须招标的暂估价项目的确认和批准采取第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FE4D46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第3种方式：承包人直接实施的暂估价项目</w:t>
      </w:r>
    </w:p>
    <w:p w14:paraId="4E7D0E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承包人直接实施的暂估价项目的约定：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7FE05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10.8 暂列金额</w:t>
      </w:r>
    </w:p>
    <w:p w14:paraId="31D014F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合同当事人关于暂列金额使用的约定：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94"/>
    <w:bookmarkEnd w:id="295"/>
    <w:bookmarkEnd w:id="296"/>
    <w:bookmarkEnd w:id="297"/>
    <w:bookmarkEnd w:id="298"/>
    <w:bookmarkEnd w:id="299"/>
    <w:p w14:paraId="1F867E76">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390" w:name="_Toc296346706"/>
      <w:bookmarkStart w:id="391" w:name="_Toc292559915"/>
      <w:bookmarkStart w:id="392" w:name="_Toc296503205"/>
      <w:bookmarkStart w:id="393" w:name="_Toc296891033"/>
      <w:bookmarkStart w:id="394" w:name="_Toc297120505"/>
      <w:bookmarkStart w:id="395" w:name="_Toc297048391"/>
      <w:bookmarkStart w:id="396" w:name="_Toc296891245"/>
      <w:bookmarkStart w:id="397" w:name="_Toc296347204"/>
      <w:bookmarkStart w:id="398" w:name="_Toc292559410"/>
      <w:bookmarkStart w:id="399" w:name="_Toc296944544"/>
      <w:bookmarkStart w:id="400" w:name="_Toc21410"/>
      <w:bookmarkStart w:id="401" w:name="_Toc24548"/>
      <w:bookmarkStart w:id="402" w:name="_Toc351203644"/>
      <w:bookmarkStart w:id="403" w:name="_Toc26718"/>
      <w:bookmarkStart w:id="404" w:name="_Toc4718"/>
      <w:bookmarkStart w:id="405" w:name="_Toc30114"/>
      <w:bookmarkStart w:id="406" w:name="_Toc300935002"/>
      <w:bookmarkStart w:id="407" w:name="_Toc303539159"/>
      <w:bookmarkStart w:id="408" w:name="_Toc297123552"/>
      <w:bookmarkStart w:id="409" w:name="_Toc312678040"/>
      <w:bookmarkStart w:id="410" w:name="_Toc297216211"/>
      <w:bookmarkStart w:id="411" w:name="_Toc304295579"/>
      <w:r>
        <w:rPr>
          <w:rFonts w:hint="eastAsia" w:ascii="宋体" w:hAnsi="宋体" w:eastAsia="宋体" w:cs="宋体"/>
          <w:bCs/>
          <w:color w:val="auto"/>
          <w:szCs w:val="21"/>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bCs/>
          <w:color w:val="auto"/>
          <w:szCs w:val="21"/>
        </w:rPr>
        <w:t>合同价格、计量与支付</w:t>
      </w:r>
      <w:bookmarkEnd w:id="400"/>
      <w:bookmarkEnd w:id="401"/>
      <w:bookmarkEnd w:id="402"/>
      <w:bookmarkEnd w:id="403"/>
      <w:bookmarkEnd w:id="404"/>
      <w:bookmarkEnd w:id="405"/>
    </w:p>
    <w:bookmarkEnd w:id="406"/>
    <w:bookmarkEnd w:id="407"/>
    <w:bookmarkEnd w:id="408"/>
    <w:bookmarkEnd w:id="409"/>
    <w:bookmarkEnd w:id="410"/>
    <w:bookmarkEnd w:id="411"/>
    <w:p w14:paraId="142CB14F">
      <w:pPr>
        <w:adjustRightInd w:val="0"/>
        <w:snapToGrid w:val="0"/>
        <w:spacing w:line="360" w:lineRule="auto"/>
        <w:ind w:firstLine="420" w:firstLineChars="200"/>
        <w:rPr>
          <w:rFonts w:ascii="宋体" w:hAnsi="宋体" w:eastAsia="宋体" w:cs="宋体"/>
          <w:color w:val="auto"/>
          <w:szCs w:val="21"/>
          <w:highlight w:val="none"/>
        </w:rPr>
      </w:pPr>
      <w:bookmarkStart w:id="412" w:name="_Toc292559411"/>
      <w:bookmarkStart w:id="413" w:name="_Toc267251461"/>
      <w:bookmarkStart w:id="414" w:name="_Toc292559916"/>
      <w:bookmarkStart w:id="415" w:name="_Toc297048392"/>
      <w:bookmarkStart w:id="416" w:name="_Toc296347205"/>
      <w:bookmarkStart w:id="417" w:name="_Toc296891034"/>
      <w:bookmarkStart w:id="418" w:name="_Toc296346707"/>
      <w:bookmarkStart w:id="419" w:name="_Toc297120506"/>
      <w:bookmarkStart w:id="420" w:name="_Toc296503206"/>
      <w:bookmarkStart w:id="421" w:name="_Toc296891246"/>
      <w:bookmarkStart w:id="422" w:name="_Toc296944545"/>
      <w:bookmarkStart w:id="423" w:name="_Toc297123553"/>
      <w:bookmarkStart w:id="424" w:name="_Toc300935003"/>
      <w:bookmarkStart w:id="425" w:name="_Toc312678041"/>
      <w:bookmarkStart w:id="426" w:name="_Toc304295580"/>
      <w:bookmarkStart w:id="427" w:name="_Toc297216212"/>
      <w:bookmarkStart w:id="428" w:name="_Toc303539160"/>
      <w:r>
        <w:rPr>
          <w:rFonts w:hint="eastAsia" w:ascii="宋体" w:hAnsi="宋体" w:eastAsia="宋体" w:cs="宋体"/>
          <w:color w:val="auto"/>
          <w:szCs w:val="21"/>
        </w:rPr>
        <w:t>12.1 合</w:t>
      </w:r>
      <w:bookmarkEnd w:id="412"/>
      <w:bookmarkEnd w:id="413"/>
      <w:bookmarkEnd w:id="414"/>
      <w:r>
        <w:rPr>
          <w:rFonts w:hint="eastAsia" w:ascii="宋体" w:hAnsi="宋体" w:eastAsia="宋体" w:cs="宋体"/>
          <w:color w:val="auto"/>
          <w:szCs w:val="21"/>
        </w:rPr>
        <w:t>同价</w:t>
      </w:r>
      <w:bookmarkEnd w:id="415"/>
      <w:bookmarkEnd w:id="416"/>
      <w:bookmarkEnd w:id="417"/>
      <w:bookmarkEnd w:id="418"/>
      <w:bookmarkEnd w:id="419"/>
      <w:bookmarkEnd w:id="420"/>
      <w:bookmarkEnd w:id="421"/>
      <w:bookmarkEnd w:id="422"/>
      <w:r>
        <w:rPr>
          <w:rFonts w:hint="eastAsia" w:ascii="宋体" w:hAnsi="宋体" w:eastAsia="宋体" w:cs="宋体"/>
          <w:color w:val="auto"/>
          <w:szCs w:val="21"/>
        </w:rPr>
        <w:t>格形式</w:t>
      </w:r>
    </w:p>
    <w:bookmarkEnd w:id="423"/>
    <w:bookmarkEnd w:id="424"/>
    <w:bookmarkEnd w:id="425"/>
    <w:bookmarkEnd w:id="426"/>
    <w:bookmarkEnd w:id="427"/>
    <w:bookmarkEnd w:id="428"/>
    <w:p w14:paraId="0691311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9C78715">
      <w:pPr>
        <w:adjustRightInd w:val="0"/>
        <w:snapToGrid w:val="0"/>
        <w:spacing w:line="360" w:lineRule="auto"/>
        <w:ind w:firstLine="420" w:firstLineChars="200"/>
        <w:rPr>
          <w:rFonts w:ascii="宋体" w:hAnsi="宋体" w:eastAsia="宋体" w:cs="宋体"/>
          <w:color w:val="auto"/>
          <w:szCs w:val="21"/>
          <w:highlight w:val="none"/>
        </w:rPr>
      </w:pPr>
      <w:bookmarkStart w:id="429" w:name="_Toc300935004"/>
      <w:bookmarkStart w:id="430" w:name="_Toc312678042"/>
      <w:bookmarkStart w:id="431" w:name="_Toc303539161"/>
      <w:bookmarkStart w:id="432" w:name="_Toc297123554"/>
      <w:bookmarkStart w:id="433" w:name="_Toc304295581"/>
      <w:bookmarkStart w:id="434" w:name="_Toc297216213"/>
      <w:bookmarkStart w:id="435" w:name="_Toc296891247"/>
      <w:bookmarkStart w:id="436" w:name="_Toc296347206"/>
      <w:bookmarkStart w:id="437" w:name="_Toc296891035"/>
      <w:bookmarkStart w:id="438" w:name="_Toc292559412"/>
      <w:bookmarkStart w:id="439" w:name="_Toc296944546"/>
      <w:bookmarkStart w:id="440" w:name="_Toc297120507"/>
      <w:bookmarkStart w:id="441" w:name="_Toc296346708"/>
      <w:bookmarkStart w:id="442" w:name="_Toc296503207"/>
      <w:bookmarkStart w:id="443" w:name="_Toc297048393"/>
      <w:bookmarkStart w:id="444" w:name="_Toc292559917"/>
      <w:r>
        <w:rPr>
          <w:rFonts w:hint="eastAsia" w:ascii="宋体" w:hAnsi="宋体" w:eastAsia="宋体" w:cs="宋体"/>
          <w:color w:val="auto"/>
          <w:szCs w:val="21"/>
          <w:highlight w:val="none"/>
        </w:rPr>
        <w:t>12.2 预付款</w:t>
      </w:r>
    </w:p>
    <w:bookmarkEnd w:id="429"/>
    <w:bookmarkEnd w:id="430"/>
    <w:bookmarkEnd w:id="431"/>
    <w:bookmarkEnd w:id="432"/>
    <w:bookmarkEnd w:id="433"/>
    <w:bookmarkEnd w:id="434"/>
    <w:p w14:paraId="419660C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14:paraId="01FAF31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 xml:space="preserve">  合同价的</w:t>
      </w:r>
      <w:r>
        <w:rPr>
          <w:rFonts w:hint="eastAsia" w:ascii="宋体" w:hAnsi="宋体" w:cs="宋体"/>
          <w:color w:val="auto"/>
          <w:szCs w:val="21"/>
          <w:highlight w:val="none"/>
          <w:u w:val="single"/>
          <w:lang w:val="en-US" w:eastAsia="zh-CN"/>
        </w:rPr>
        <w:t>4</w:t>
      </w:r>
      <w:r>
        <w:rPr>
          <w:rFonts w:hint="eastAsia" w:ascii="宋体" w:hAnsi="宋体" w:eastAsia="宋体" w:cs="宋体"/>
          <w:color w:val="auto"/>
          <w:szCs w:val="21"/>
          <w:highlight w:val="none"/>
          <w:u w:val="single"/>
        </w:rPr>
        <w:t xml:space="preserve">0%  </w:t>
      </w:r>
      <w:r>
        <w:rPr>
          <w:rFonts w:hint="eastAsia" w:ascii="宋体" w:hAnsi="宋体" w:eastAsia="宋体" w:cs="宋体"/>
          <w:color w:val="auto"/>
          <w:szCs w:val="21"/>
          <w:highlight w:val="none"/>
        </w:rPr>
        <w:t>。</w:t>
      </w:r>
    </w:p>
    <w:p w14:paraId="1CE561A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合同签订后7</w:t>
      </w:r>
      <w:r>
        <w:rPr>
          <w:rFonts w:hint="eastAsia" w:ascii="宋体" w:hAnsi="宋体" w:cs="宋体"/>
          <w:color w:val="auto"/>
          <w:szCs w:val="21"/>
          <w:highlight w:val="none"/>
          <w:u w:val="single"/>
          <w:lang w:eastAsia="zh-CN"/>
        </w:rPr>
        <w:t>天</w:t>
      </w:r>
      <w:r>
        <w:rPr>
          <w:rFonts w:hint="eastAsia" w:ascii="宋体" w:hAnsi="宋体" w:eastAsia="宋体" w:cs="宋体"/>
          <w:color w:val="auto"/>
          <w:szCs w:val="21"/>
          <w:highlight w:val="none"/>
          <w:u w:val="single"/>
        </w:rPr>
        <w:t xml:space="preserve">内 </w:t>
      </w:r>
      <w:r>
        <w:rPr>
          <w:rFonts w:hint="eastAsia" w:ascii="宋体" w:hAnsi="宋体" w:eastAsia="宋体" w:cs="宋体"/>
          <w:color w:val="auto"/>
          <w:szCs w:val="21"/>
          <w:highlight w:val="none"/>
        </w:rPr>
        <w:t>。</w:t>
      </w:r>
    </w:p>
    <w:p w14:paraId="24C775F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16869F6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14:paraId="284875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5F20389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bookmarkEnd w:id="435"/>
    <w:bookmarkEnd w:id="436"/>
    <w:bookmarkEnd w:id="437"/>
    <w:bookmarkEnd w:id="438"/>
    <w:bookmarkEnd w:id="439"/>
    <w:bookmarkEnd w:id="440"/>
    <w:bookmarkEnd w:id="441"/>
    <w:bookmarkEnd w:id="442"/>
    <w:bookmarkEnd w:id="443"/>
    <w:bookmarkEnd w:id="444"/>
    <w:p w14:paraId="64D9B75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 计量</w:t>
      </w:r>
    </w:p>
    <w:p w14:paraId="13A99BF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12.3.1 计量原则</w:t>
      </w:r>
    </w:p>
    <w:p w14:paraId="3127F96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工程量计算规则：</w:t>
      </w:r>
    </w:p>
    <w:p w14:paraId="0600D12D">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1、已批复的设计方案及施工图纸；</w:t>
      </w:r>
    </w:p>
    <w:p w14:paraId="23A88036">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2、工程量清单依据</w:t>
      </w:r>
      <w:r>
        <w:rPr>
          <w:rFonts w:hint="eastAsia" w:ascii="宋体" w:hAnsi="宋体" w:cs="宋体"/>
          <w:color w:val="auto"/>
          <w:szCs w:val="21"/>
          <w:highlight w:val="none"/>
          <w:u w:val="single"/>
          <w:lang w:val="en-US" w:eastAsia="zh-CN"/>
        </w:rPr>
        <w:t>招标文件要求</w:t>
      </w:r>
      <w:r>
        <w:rPr>
          <w:rFonts w:hint="eastAsia" w:ascii="宋体" w:hAnsi="宋体" w:eastAsia="宋体" w:cs="宋体"/>
          <w:color w:val="auto"/>
          <w:szCs w:val="21"/>
          <w:highlight w:val="none"/>
          <w:u w:val="single"/>
        </w:rPr>
        <w:t>及其他相关的计价依据和办法；</w:t>
      </w:r>
    </w:p>
    <w:p w14:paraId="3A062D6C">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cs="宋体"/>
          <w:color w:val="auto"/>
          <w:szCs w:val="21"/>
          <w:highlight w:val="none"/>
          <w:u w:val="single"/>
          <w:lang w:val="en-US" w:eastAsia="zh-CN"/>
        </w:rPr>
        <w:t>3</w:t>
      </w:r>
      <w:r>
        <w:rPr>
          <w:rFonts w:hint="eastAsia" w:ascii="宋体" w:hAnsi="宋体" w:eastAsia="宋体" w:cs="宋体"/>
          <w:color w:val="auto"/>
          <w:szCs w:val="21"/>
          <w:highlight w:val="none"/>
          <w:u w:val="single"/>
        </w:rPr>
        <w:t>、其他相关资料等；</w:t>
      </w:r>
    </w:p>
    <w:p w14:paraId="620C8040">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cs="宋体"/>
          <w:color w:val="auto"/>
          <w:szCs w:val="21"/>
          <w:highlight w:val="none"/>
          <w:u w:val="single"/>
          <w:lang w:val="en-US" w:eastAsia="zh-CN"/>
        </w:rPr>
        <w:t>4</w:t>
      </w:r>
      <w:r>
        <w:rPr>
          <w:rFonts w:hint="eastAsia" w:ascii="宋体" w:hAnsi="宋体" w:eastAsia="宋体" w:cs="宋体"/>
          <w:color w:val="auto"/>
          <w:szCs w:val="21"/>
          <w:highlight w:val="none"/>
          <w:u w:val="single"/>
        </w:rPr>
        <w:t>、实际已完的合格工程，并经发包人、监理人、承包人三方共同确认。</w:t>
      </w:r>
    </w:p>
    <w:p w14:paraId="256FE37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14:paraId="2EFC23F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按照通用条款执行 </w:t>
      </w:r>
      <w:r>
        <w:rPr>
          <w:rFonts w:hint="eastAsia" w:ascii="宋体" w:hAnsi="宋体" w:eastAsia="宋体" w:cs="宋体"/>
          <w:color w:val="auto"/>
          <w:szCs w:val="21"/>
          <w:highlight w:val="none"/>
        </w:rPr>
        <w:t>。</w:t>
      </w:r>
    </w:p>
    <w:p w14:paraId="1545FFF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14:paraId="292FFB4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按照通用条款执行</w:t>
      </w:r>
      <w:r>
        <w:rPr>
          <w:rFonts w:hint="eastAsia" w:ascii="宋体" w:hAnsi="宋体" w:eastAsia="宋体" w:cs="宋体"/>
          <w:color w:val="auto"/>
          <w:szCs w:val="21"/>
          <w:highlight w:val="none"/>
        </w:rPr>
        <w:t>。</w:t>
      </w:r>
    </w:p>
    <w:p w14:paraId="38774DF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12.3.4 总价合同的计量</w:t>
      </w:r>
    </w:p>
    <w:p w14:paraId="6814B7A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关于总价合同计量的约定：</w:t>
      </w:r>
      <w:r>
        <w:rPr>
          <w:rFonts w:hint="eastAsia" w:ascii="宋体" w:hAnsi="宋体" w:eastAsia="宋体" w:cs="宋体"/>
          <w:color w:val="auto"/>
          <w:szCs w:val="21"/>
          <w:highlight w:val="none"/>
          <w:u w:val="single"/>
        </w:rPr>
        <w:t>按照通用条款执行</w:t>
      </w:r>
      <w:r>
        <w:rPr>
          <w:rFonts w:hint="eastAsia" w:ascii="宋体" w:hAnsi="宋体" w:eastAsia="宋体" w:cs="宋体"/>
          <w:color w:val="auto"/>
          <w:szCs w:val="21"/>
          <w:highlight w:val="none"/>
        </w:rPr>
        <w:t>。</w:t>
      </w:r>
    </w:p>
    <w:p w14:paraId="5F36E52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12.3.5总价合同采用支付分解表计量支付的，是否适用第12.3.4 项〔总价合同的计量〕约定进行计量：</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539008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12.3.6 其他价格形式合同的计量</w:t>
      </w:r>
    </w:p>
    <w:p w14:paraId="2E203AB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其他价格形式的计量方式和程序：</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542CE48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 工程进度款支付</w:t>
      </w:r>
    </w:p>
    <w:p w14:paraId="160338D3">
      <w:pPr>
        <w:numPr>
          <w:ilvl w:val="2"/>
          <w:numId w:val="3"/>
        </w:numPr>
        <w:adjustRightInd w:val="0"/>
        <w:snapToGrid w:val="0"/>
        <w:spacing w:line="360" w:lineRule="auto"/>
        <w:ind w:left="0" w:firstLine="420" w:firstLineChars="200"/>
        <w:rPr>
          <w:rFonts w:ascii="宋体" w:hAnsi="宋体" w:eastAsia="宋体" w:cs="宋体"/>
          <w:color w:val="auto"/>
          <w:szCs w:val="21"/>
          <w:highlight w:val="none"/>
        </w:rPr>
      </w:pPr>
      <w:bookmarkStart w:id="445" w:name="_Toc297123556"/>
      <w:bookmarkStart w:id="446" w:name="_Toc296944550"/>
      <w:bookmarkStart w:id="447" w:name="_Toc292559921"/>
      <w:bookmarkStart w:id="448" w:name="_Toc297048397"/>
      <w:bookmarkStart w:id="449" w:name="_Toc296891251"/>
      <w:bookmarkStart w:id="450" w:name="_Toc296346712"/>
      <w:bookmarkStart w:id="451" w:name="_Toc296891039"/>
      <w:bookmarkStart w:id="452" w:name="_Toc297120511"/>
      <w:bookmarkStart w:id="453" w:name="_Toc296503211"/>
      <w:bookmarkStart w:id="454" w:name="_Toc303539163"/>
      <w:bookmarkStart w:id="455" w:name="_Toc292559416"/>
      <w:bookmarkStart w:id="456" w:name="_Toc296347210"/>
      <w:bookmarkStart w:id="457" w:name="_Toc297216215"/>
      <w:bookmarkStart w:id="458" w:name="_Toc300935006"/>
      <w:r>
        <w:rPr>
          <w:rFonts w:hint="eastAsia" w:ascii="宋体" w:hAnsi="宋体" w:eastAsia="宋体" w:cs="宋体"/>
          <w:color w:val="auto"/>
          <w:szCs w:val="21"/>
          <w:highlight w:val="none"/>
        </w:rPr>
        <w:t>付款周期</w:t>
      </w:r>
    </w:p>
    <w:p w14:paraId="3EC2DAF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关于付款周期的约定：</w:t>
      </w:r>
    </w:p>
    <w:p w14:paraId="62426B9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经发包人书面确认后的施工图预算作为支付合同款项的依据，结算时按专用条款约定结算。</w:t>
      </w:r>
    </w:p>
    <w:p w14:paraId="25BAF9BC">
      <w:pPr>
        <w:numPr>
          <w:ilvl w:val="0"/>
          <w:numId w:val="0"/>
        </w:numPr>
        <w:adjustRightInd w:val="0"/>
        <w:snapToGrid w:val="0"/>
        <w:spacing w:line="360" w:lineRule="auto"/>
        <w:ind w:left="0" w:leftChars="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（1）合同签订后7天内，支付合同总价款40%作为预付款</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设备材料到场后7天内，再支付合同总价的30%</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工程完工并验收合格后7天内，支付到合同总价的100%。</w:t>
      </w:r>
    </w:p>
    <w:p w14:paraId="502EE513">
      <w:pPr>
        <w:numPr>
          <w:ilvl w:val="0"/>
          <w:numId w:val="0"/>
        </w:numPr>
        <w:adjustRightInd w:val="0"/>
        <w:snapToGrid w:val="0"/>
        <w:spacing w:line="360" w:lineRule="auto"/>
        <w:ind w:left="0" w:leftChars="0" w:firstLine="420" w:firstLineChars="200"/>
        <w:rPr>
          <w:rFonts w:ascii="宋体" w:hAnsi="宋体" w:eastAsia="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发包人正式付款前，承包人需提供符合要求的正式增值税发票。</w:t>
      </w:r>
    </w:p>
    <w:p w14:paraId="2A1DBB5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12.4.2 进度付款申请单的编制</w:t>
      </w:r>
    </w:p>
    <w:p w14:paraId="1E855EB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关于进度付款申请单编制的约定：</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52AD899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color w:val="auto"/>
          <w:szCs w:val="21"/>
          <w:highlight w:val="none"/>
        </w:rPr>
        <w:t>2.4.3 进度付款申请单的提交</w:t>
      </w:r>
    </w:p>
    <w:p w14:paraId="1E441BD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（1）单价合同进度付款申请单提交的约定：</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14:paraId="66B587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highlight w:val="none"/>
        </w:rPr>
        <w:t>（2）总价合同进度付款申请</w:t>
      </w:r>
      <w:r>
        <w:rPr>
          <w:rFonts w:hint="eastAsia" w:ascii="宋体" w:hAnsi="宋体" w:eastAsia="宋体" w:cs="宋体"/>
          <w:color w:val="auto"/>
          <w:szCs w:val="21"/>
        </w:rPr>
        <w:t>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3D72D4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（3）其他价格形式合同进度付款申请单提交的约定：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1E10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12.4.4 进度款审核和支付</w:t>
      </w:r>
    </w:p>
    <w:p w14:paraId="25E9D20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（1）监理人审查并报送发包人的期限：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560098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发包人完成审批并签发进度款支付证书的期限：</w:t>
      </w:r>
      <w:r>
        <w:rPr>
          <w:rFonts w:hint="eastAsia" w:ascii="宋体" w:hAnsi="宋体" w:eastAsia="宋体" w:cs="宋体"/>
          <w:color w:val="auto"/>
          <w:szCs w:val="21"/>
          <w:u w:val="single"/>
        </w:rPr>
        <w:t xml:space="preserve"> 7天</w:t>
      </w:r>
      <w:r>
        <w:rPr>
          <w:rFonts w:hint="eastAsia" w:ascii="宋体" w:hAnsi="宋体" w:eastAsia="宋体" w:cs="宋体"/>
          <w:color w:val="auto"/>
          <w:szCs w:val="21"/>
        </w:rPr>
        <w:t>。</w:t>
      </w:r>
    </w:p>
    <w:p w14:paraId="65D8D0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（2）发包人支付进度款的期限：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44F780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发包人逾期支付进度款的违约金的计算方式：</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EED4E9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12.4.6 支付分解表的编制</w:t>
      </w:r>
    </w:p>
    <w:p w14:paraId="3A6E95D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2、总价合同支付分解表的编制与审批：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04C9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3、单价合同的总价项目支付分解表的编制与审批：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300"/>
    <w:p w14:paraId="6FE78C2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459" w:name="_Toc9111"/>
      <w:bookmarkStart w:id="460" w:name="_Toc351203645"/>
      <w:bookmarkStart w:id="461" w:name="_Toc20340"/>
      <w:bookmarkStart w:id="462" w:name="_Toc9107"/>
      <w:bookmarkStart w:id="463" w:name="_Toc6095"/>
      <w:bookmarkStart w:id="464" w:name="_Toc5909"/>
      <w:bookmarkStart w:id="465" w:name="_Toc296944558"/>
      <w:bookmarkStart w:id="466" w:name="_Toc296346720"/>
      <w:bookmarkStart w:id="467" w:name="_Toc304295593"/>
      <w:bookmarkStart w:id="468" w:name="_Toc292559424"/>
      <w:bookmarkStart w:id="469" w:name="_Toc297120519"/>
      <w:bookmarkStart w:id="470" w:name="_Toc297216223"/>
      <w:bookmarkStart w:id="471" w:name="_Toc292559929"/>
      <w:bookmarkStart w:id="472" w:name="_Toc297048405"/>
      <w:bookmarkStart w:id="473" w:name="_Toc296347218"/>
      <w:bookmarkStart w:id="474" w:name="_Toc296891047"/>
      <w:bookmarkStart w:id="475" w:name="_Toc303539172"/>
      <w:bookmarkStart w:id="476" w:name="_Toc312678053"/>
      <w:bookmarkStart w:id="477" w:name="_Toc297123564"/>
      <w:bookmarkStart w:id="478" w:name="_Toc300935015"/>
      <w:bookmarkStart w:id="479" w:name="_Toc296503219"/>
      <w:bookmarkStart w:id="480" w:name="_Toc296891259"/>
      <w:r>
        <w:rPr>
          <w:rFonts w:hint="eastAsia" w:ascii="宋体" w:hAnsi="宋体" w:eastAsia="宋体" w:cs="宋体"/>
          <w:bCs/>
          <w:color w:val="auto"/>
          <w:szCs w:val="21"/>
        </w:rPr>
        <w:t>13. 验收和工程试车</w:t>
      </w:r>
      <w:bookmarkEnd w:id="459"/>
      <w:bookmarkEnd w:id="460"/>
      <w:bookmarkEnd w:id="461"/>
      <w:bookmarkEnd w:id="462"/>
      <w:bookmarkEnd w:id="463"/>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3024A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 分部分项工程验收</w:t>
      </w:r>
    </w:p>
    <w:p w14:paraId="67FA3D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13.1.2监理人不能按时进行验收时，应提前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2BECDF65">
      <w:pPr>
        <w:adjustRightInd w:val="0"/>
        <w:snapToGrid w:val="0"/>
        <w:spacing w:line="360" w:lineRule="auto"/>
        <w:ind w:firstLine="420" w:firstLineChars="200"/>
        <w:rPr>
          <w:rFonts w:ascii="宋体" w:hAnsi="宋体" w:eastAsia="宋体" w:cs="宋体"/>
          <w:b/>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00A25907">
      <w:pPr>
        <w:adjustRightInd w:val="0"/>
        <w:snapToGrid w:val="0"/>
        <w:spacing w:line="360" w:lineRule="auto"/>
        <w:ind w:firstLine="420" w:firstLineChars="200"/>
        <w:rPr>
          <w:rFonts w:ascii="宋体" w:hAnsi="宋体" w:eastAsia="宋体" w:cs="宋体"/>
          <w:color w:val="auto"/>
          <w:szCs w:val="21"/>
        </w:rPr>
      </w:pPr>
      <w:bookmarkStart w:id="481" w:name="_Toc303539173"/>
      <w:bookmarkStart w:id="482" w:name="_Toc297123565"/>
      <w:bookmarkStart w:id="483" w:name="_Toc292559933"/>
      <w:bookmarkStart w:id="484" w:name="_Toc296346724"/>
      <w:bookmarkStart w:id="485" w:name="_Toc296891263"/>
      <w:bookmarkStart w:id="486" w:name="_Toc300935016"/>
      <w:bookmarkStart w:id="487" w:name="_Toc292559428"/>
      <w:bookmarkStart w:id="488" w:name="_Toc296891051"/>
      <w:bookmarkStart w:id="489" w:name="_Toc296944562"/>
      <w:bookmarkStart w:id="490" w:name="_Toc304295596"/>
      <w:bookmarkStart w:id="491" w:name="_Toc297120523"/>
      <w:bookmarkStart w:id="492" w:name="_Toc296503223"/>
      <w:bookmarkStart w:id="493" w:name="_Toc297048409"/>
      <w:bookmarkStart w:id="494" w:name="_Toc297216224"/>
      <w:bookmarkStart w:id="495" w:name="_Toc296347222"/>
      <w:bookmarkStart w:id="496" w:name="_Toc312678056"/>
      <w:bookmarkStart w:id="497" w:name="_Toc267251474"/>
      <w:bookmarkStart w:id="498" w:name="_Toc267251470"/>
      <w:bookmarkStart w:id="499" w:name="_Toc267251471"/>
      <w:bookmarkStart w:id="500" w:name="_Toc267251476"/>
      <w:bookmarkStart w:id="501" w:name="_Toc267251472"/>
      <w:bookmarkStart w:id="502" w:name="_Toc267251473"/>
      <w:bookmarkStart w:id="503" w:name="_Toc267251475"/>
      <w:r>
        <w:rPr>
          <w:rFonts w:hint="eastAsia" w:ascii="宋体" w:hAnsi="宋体" w:eastAsia="宋体" w:cs="宋体"/>
          <w:color w:val="auto"/>
          <w:szCs w:val="21"/>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19BF2113">
      <w:pPr>
        <w:adjustRightInd w:val="0"/>
        <w:snapToGrid w:val="0"/>
        <w:spacing w:line="360" w:lineRule="auto"/>
        <w:ind w:firstLine="420" w:firstLineChars="200"/>
        <w:rPr>
          <w:rFonts w:ascii="宋体" w:hAnsi="宋体" w:eastAsia="宋体" w:cs="宋体"/>
          <w:color w:val="auto"/>
          <w:szCs w:val="21"/>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color w:val="auto"/>
          <w:szCs w:val="21"/>
        </w:rPr>
        <w:t>13.2.2竣工验收程序</w:t>
      </w:r>
    </w:p>
    <w:bookmarkEnd w:id="504"/>
    <w:p w14:paraId="1CFF59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关于竣工验收程序的约定：</w:t>
      </w:r>
      <w:r>
        <w:rPr>
          <w:rFonts w:hint="eastAsia" w:ascii="宋体" w:hAnsi="宋体" w:eastAsia="宋体" w:cs="宋体"/>
          <w:color w:val="auto"/>
          <w:szCs w:val="21"/>
          <w:u w:val="single"/>
        </w:rPr>
        <w:t xml:space="preserve"> 执行《通用合同条款》13.2.2款 </w:t>
      </w:r>
      <w:r>
        <w:rPr>
          <w:rFonts w:hint="eastAsia" w:ascii="宋体" w:hAnsi="宋体" w:eastAsia="宋体" w:cs="宋体"/>
          <w:color w:val="auto"/>
          <w:szCs w:val="21"/>
        </w:rPr>
        <w:t>。</w:t>
      </w:r>
    </w:p>
    <w:p w14:paraId="1793B9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发包人不按照本项约定组织竣工验收、颁发工程接收证书的违约金的计算方法：</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505"/>
    <w:p w14:paraId="3077A9C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13.2.5移交、接收全部与部分工程</w:t>
      </w:r>
    </w:p>
    <w:bookmarkEnd w:id="506"/>
    <w:p w14:paraId="71AE69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承包人向发包人移交工程的期限：</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60</w:t>
      </w:r>
      <w:r>
        <w:rPr>
          <w:rFonts w:hint="eastAsia" w:ascii="宋体" w:hAnsi="宋体" w:eastAsia="宋体" w:cs="宋体"/>
          <w:color w:val="auto"/>
          <w:szCs w:val="21"/>
          <w:u w:val="single"/>
        </w:rPr>
        <w:t>日历天</w:t>
      </w:r>
      <w:r>
        <w:rPr>
          <w:rFonts w:hint="eastAsia" w:ascii="宋体" w:hAnsi="宋体" w:eastAsia="宋体" w:cs="宋体"/>
          <w:color w:val="auto"/>
          <w:szCs w:val="21"/>
        </w:rPr>
        <w:t>。</w:t>
      </w:r>
    </w:p>
    <w:p w14:paraId="531694D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发包人未按本合同约定接收全部或部分工程的，违约金的计算方法为：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07"/>
    <w:p w14:paraId="5BA539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承包人未按时移交工程的，违约金的计算方法为：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B8259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 工程试车</w:t>
      </w:r>
    </w:p>
    <w:bookmarkEnd w:id="508"/>
    <w:p w14:paraId="0A6B61F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13.3.1 试车程序</w:t>
      </w:r>
    </w:p>
    <w:p w14:paraId="26D35B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工程试车内容：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5DB25B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（1）单机无负荷试车费用由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0A308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（2）无负荷联动试车费用由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7A7D130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13.3.3 投料试车</w:t>
      </w:r>
    </w:p>
    <w:p w14:paraId="0B2BCD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关于投料试车相关事项的约定：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06685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 竣工退场</w:t>
      </w:r>
    </w:p>
    <w:p w14:paraId="67FAC6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13.6.1 竣工退场</w:t>
      </w:r>
    </w:p>
    <w:p w14:paraId="4393A3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承包人完成竣工退场的期限：</w:t>
      </w:r>
      <w:r>
        <w:rPr>
          <w:rFonts w:hint="eastAsia" w:ascii="宋体" w:hAnsi="宋体" w:eastAsia="宋体" w:cs="宋体"/>
          <w:color w:val="auto"/>
          <w:szCs w:val="21"/>
          <w:u w:val="single"/>
        </w:rPr>
        <w:t xml:space="preserve"> 执行《通用合同条款》13.6.1款 </w:t>
      </w:r>
      <w:r>
        <w:rPr>
          <w:rFonts w:hint="eastAsia" w:ascii="宋体" w:hAnsi="宋体" w:eastAsia="宋体" w:cs="宋体"/>
          <w:color w:val="auto"/>
          <w:szCs w:val="21"/>
        </w:rPr>
        <w:t>。</w:t>
      </w:r>
    </w:p>
    <w:p w14:paraId="0A15966C">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0" w:name="_Toc13041"/>
      <w:bookmarkStart w:id="511" w:name="_Toc29133"/>
      <w:bookmarkStart w:id="512" w:name="_Toc351203646"/>
      <w:bookmarkStart w:id="513" w:name="_Toc25163"/>
      <w:bookmarkStart w:id="514" w:name="_Toc30667"/>
      <w:bookmarkStart w:id="515" w:name="_Toc29777"/>
      <w:r>
        <w:rPr>
          <w:rFonts w:hint="eastAsia" w:ascii="宋体" w:hAnsi="宋体" w:eastAsia="宋体" w:cs="宋体"/>
          <w:bCs/>
          <w:color w:val="auto"/>
          <w:szCs w:val="21"/>
        </w:rPr>
        <w:t>14. 竣工结算</w:t>
      </w:r>
      <w:bookmarkEnd w:id="510"/>
      <w:bookmarkEnd w:id="511"/>
      <w:bookmarkEnd w:id="512"/>
      <w:bookmarkEnd w:id="513"/>
      <w:bookmarkEnd w:id="514"/>
      <w:bookmarkEnd w:id="515"/>
    </w:p>
    <w:p w14:paraId="55CB429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 竣工结算申请</w:t>
      </w:r>
    </w:p>
    <w:p w14:paraId="215C0F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承包人提交竣工结算申请单的期限：</w:t>
      </w:r>
      <w:r>
        <w:rPr>
          <w:rFonts w:hint="eastAsia" w:ascii="宋体" w:hAnsi="宋体" w:eastAsia="宋体" w:cs="宋体"/>
          <w:color w:val="auto"/>
          <w:szCs w:val="21"/>
          <w:u w:val="single"/>
        </w:rPr>
        <w:t>按照通用条款执行。</w:t>
      </w:r>
    </w:p>
    <w:p w14:paraId="3776AFF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竣工结算申请单应包括的内容：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97D4D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竣工结算审核</w:t>
      </w:r>
    </w:p>
    <w:p w14:paraId="685BB724">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 xml:space="preserve">发包人审批竣工付款申请单的期限： </w:t>
      </w:r>
      <w:r>
        <w:rPr>
          <w:rFonts w:hint="eastAsia" w:ascii="宋体" w:hAnsi="宋体" w:eastAsia="宋体" w:cs="宋体"/>
          <w:color w:val="auto"/>
          <w:spacing w:val="-17"/>
          <w:szCs w:val="21"/>
          <w:u w:val="single"/>
        </w:rPr>
        <w:t xml:space="preserve">执行《通用合同条款》14.2款 </w:t>
      </w:r>
      <w:r>
        <w:rPr>
          <w:rFonts w:hint="eastAsia" w:ascii="宋体" w:hAnsi="宋体" w:eastAsia="宋体" w:cs="宋体"/>
          <w:color w:val="auto"/>
          <w:spacing w:val="-17"/>
          <w:szCs w:val="21"/>
        </w:rPr>
        <w:t>。</w:t>
      </w:r>
    </w:p>
    <w:p w14:paraId="448887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发包人完成竣工付款的期限：</w:t>
      </w:r>
      <w:r>
        <w:rPr>
          <w:rFonts w:hint="eastAsia" w:ascii="宋体" w:hAnsi="宋体" w:eastAsia="宋体" w:cs="宋体"/>
          <w:color w:val="auto"/>
          <w:szCs w:val="21"/>
          <w:u w:val="single"/>
        </w:rPr>
        <w:t xml:space="preserve"> 执行《通用合同条款》14.2款 </w:t>
      </w:r>
      <w:r>
        <w:rPr>
          <w:rFonts w:hint="eastAsia" w:ascii="宋体" w:hAnsi="宋体" w:eastAsia="宋体" w:cs="宋体"/>
          <w:color w:val="auto"/>
          <w:szCs w:val="21"/>
        </w:rPr>
        <w:t>。</w:t>
      </w:r>
    </w:p>
    <w:p w14:paraId="6D2CC3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关于竣工付款证书异议部分复核的方式和程序：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F4DE3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 最终结清</w:t>
      </w:r>
    </w:p>
    <w:p w14:paraId="556DC24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14.4.1 最终结清申请单</w:t>
      </w:r>
    </w:p>
    <w:p w14:paraId="0A7E23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承包人提交最终结清申请单的份数：</w:t>
      </w:r>
      <w:r>
        <w:rPr>
          <w:rFonts w:hint="eastAsia" w:ascii="宋体" w:hAnsi="宋体" w:eastAsia="宋体" w:cs="宋体"/>
          <w:color w:val="auto"/>
          <w:szCs w:val="21"/>
          <w:u w:val="single"/>
        </w:rPr>
        <w:t xml:space="preserve"> 2份 </w:t>
      </w:r>
      <w:r>
        <w:rPr>
          <w:rFonts w:hint="eastAsia" w:ascii="宋体" w:hAnsi="宋体" w:eastAsia="宋体" w:cs="宋体"/>
          <w:color w:val="auto"/>
          <w:szCs w:val="21"/>
        </w:rPr>
        <w:t>。</w:t>
      </w:r>
    </w:p>
    <w:p w14:paraId="0E324FE6">
      <w:pPr>
        <w:adjustRightInd w:val="0"/>
        <w:snapToGrid w:val="0"/>
        <w:spacing w:line="360" w:lineRule="auto"/>
        <w:ind w:firstLine="420" w:firstLineChars="200"/>
        <w:rPr>
          <w:rFonts w:ascii="宋体" w:hAnsi="宋体" w:eastAsia="宋体" w:cs="宋体"/>
          <w:color w:val="auto"/>
          <w:spacing w:val="-23"/>
          <w:szCs w:val="21"/>
        </w:rPr>
      </w:pPr>
      <w:r>
        <w:rPr>
          <w:rFonts w:hint="eastAsia" w:ascii="宋体" w:hAnsi="宋体" w:eastAsia="宋体" w:cs="宋体"/>
          <w:color w:val="auto"/>
          <w:szCs w:val="21"/>
        </w:rPr>
        <w:t>承包人提交最终结算申请单的期限：</w:t>
      </w:r>
      <w:r>
        <w:rPr>
          <w:rFonts w:hint="eastAsia" w:ascii="宋体" w:hAnsi="宋体" w:eastAsia="宋体" w:cs="宋体"/>
          <w:color w:val="auto"/>
          <w:spacing w:val="-23"/>
          <w:szCs w:val="21"/>
          <w:u w:val="single"/>
        </w:rPr>
        <w:t>执行《通用合同条款》14.4.1款</w:t>
      </w:r>
      <w:r>
        <w:rPr>
          <w:rFonts w:hint="eastAsia" w:ascii="宋体" w:hAnsi="宋体" w:eastAsia="宋体" w:cs="宋体"/>
          <w:color w:val="auto"/>
          <w:spacing w:val="-23"/>
          <w:szCs w:val="21"/>
        </w:rPr>
        <w:t xml:space="preserve">。 </w:t>
      </w:r>
    </w:p>
    <w:p w14:paraId="5A98B6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14.4.2 最终结清证书和支付</w:t>
      </w:r>
    </w:p>
    <w:p w14:paraId="72B365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pacing w:val="-20"/>
          <w:szCs w:val="21"/>
        </w:rPr>
        <w:t>发包人完成最终结清申请单的审批并颁发最终结清证书的期限</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30天 </w:t>
      </w:r>
      <w:r>
        <w:rPr>
          <w:rFonts w:hint="eastAsia" w:ascii="宋体" w:hAnsi="宋体" w:eastAsia="宋体" w:cs="宋体"/>
          <w:color w:val="auto"/>
          <w:szCs w:val="21"/>
        </w:rPr>
        <w:t>。</w:t>
      </w:r>
    </w:p>
    <w:p w14:paraId="61E4CF2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（2）发包人完成支付的期限：</w:t>
      </w:r>
      <w:r>
        <w:rPr>
          <w:rFonts w:hint="eastAsia" w:ascii="宋体" w:hAnsi="宋体" w:eastAsia="宋体" w:cs="宋体"/>
          <w:color w:val="auto"/>
          <w:szCs w:val="21"/>
          <w:u w:val="single"/>
        </w:rPr>
        <w:t xml:space="preserve"> 结清证书出具后30天 </w:t>
      </w:r>
      <w:r>
        <w:rPr>
          <w:rFonts w:hint="eastAsia" w:ascii="宋体" w:hAnsi="宋体" w:eastAsia="宋体" w:cs="宋体"/>
          <w:color w:val="auto"/>
          <w:szCs w:val="21"/>
        </w:rPr>
        <w:t>。</w:t>
      </w:r>
    </w:p>
    <w:bookmarkEnd w:id="497"/>
    <w:bookmarkEnd w:id="498"/>
    <w:bookmarkEnd w:id="499"/>
    <w:bookmarkEnd w:id="500"/>
    <w:bookmarkEnd w:id="501"/>
    <w:bookmarkEnd w:id="502"/>
    <w:bookmarkEnd w:id="503"/>
    <w:bookmarkEnd w:id="509"/>
    <w:p w14:paraId="463924A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6" w:name="_Toc12767"/>
      <w:bookmarkStart w:id="517" w:name="_Toc10575"/>
      <w:bookmarkStart w:id="518" w:name="_Toc26320"/>
      <w:bookmarkStart w:id="519" w:name="_Toc351203647"/>
      <w:bookmarkStart w:id="520" w:name="_Toc16526"/>
      <w:bookmarkStart w:id="521" w:name="_Toc20792"/>
      <w:bookmarkStart w:id="522" w:name="_Toc267251483"/>
      <w:bookmarkStart w:id="523" w:name="_Toc267251482"/>
      <w:bookmarkStart w:id="524" w:name="_Toc267251484"/>
      <w:bookmarkStart w:id="525" w:name="_Toc267251485"/>
      <w:bookmarkStart w:id="526" w:name="_Toc267251486"/>
      <w:bookmarkStart w:id="527" w:name="_Toc267251490"/>
      <w:bookmarkStart w:id="528" w:name="_Toc267251488"/>
      <w:bookmarkStart w:id="529" w:name="_Toc267251489"/>
      <w:bookmarkStart w:id="530" w:name="_Toc267251496"/>
      <w:bookmarkStart w:id="531" w:name="_Toc267251499"/>
      <w:bookmarkStart w:id="532" w:name="_Toc267251492"/>
      <w:bookmarkStart w:id="533" w:name="_Toc267251491"/>
      <w:bookmarkStart w:id="534" w:name="_Toc267251503"/>
      <w:bookmarkStart w:id="535" w:name="_Toc267251497"/>
      <w:bookmarkStart w:id="536" w:name="_Toc267251494"/>
      <w:bookmarkStart w:id="537" w:name="_Toc267251501"/>
      <w:bookmarkStart w:id="538" w:name="_Toc267251493"/>
      <w:bookmarkStart w:id="539" w:name="_Toc267251498"/>
      <w:bookmarkStart w:id="540" w:name="_Toc267251502"/>
      <w:bookmarkStart w:id="541" w:name="_Toc267251495"/>
      <w:bookmarkStart w:id="542" w:name="_Toc267251506"/>
      <w:bookmarkStart w:id="543" w:name="_Toc267251504"/>
      <w:bookmarkStart w:id="544" w:name="_Toc267251507"/>
      <w:bookmarkStart w:id="545" w:name="_Toc267251508"/>
      <w:bookmarkStart w:id="546" w:name="_Toc267251510"/>
      <w:bookmarkStart w:id="547" w:name="_Toc267251513"/>
      <w:bookmarkStart w:id="548" w:name="_Toc267251509"/>
      <w:bookmarkStart w:id="549" w:name="_Toc267251515"/>
      <w:bookmarkStart w:id="550" w:name="_Toc267251511"/>
      <w:bookmarkStart w:id="551" w:name="_Toc267251514"/>
      <w:r>
        <w:rPr>
          <w:rFonts w:hint="eastAsia" w:ascii="宋体" w:hAnsi="宋体" w:eastAsia="宋体" w:cs="宋体"/>
          <w:bCs/>
          <w:color w:val="auto"/>
          <w:szCs w:val="21"/>
        </w:rPr>
        <w:t>15. 缺陷责任期与保修</w:t>
      </w:r>
      <w:bookmarkEnd w:id="516"/>
      <w:bookmarkEnd w:id="517"/>
      <w:bookmarkEnd w:id="518"/>
      <w:bookmarkEnd w:id="519"/>
      <w:bookmarkEnd w:id="520"/>
      <w:bookmarkEnd w:id="521"/>
    </w:p>
    <w:p w14:paraId="73888E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15.2缺陷责任期</w:t>
      </w:r>
      <w:bookmarkEnd w:id="522"/>
    </w:p>
    <w:p w14:paraId="2BBFBA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缺陷责任期的具体期限：</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工程竣工验收合格后 12个月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21DB1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 质量保证金</w:t>
      </w:r>
    </w:p>
    <w:p w14:paraId="308EB57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关于是否扣留质量保证金的约定：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DD9F9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15.3.1 承包人提供质量保证金的方式</w:t>
      </w:r>
    </w:p>
    <w:p w14:paraId="7B023010">
      <w:pPr>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质量保证金采用以下第</w:t>
      </w:r>
      <w:r>
        <w:rPr>
          <w:rFonts w:hint="eastAsia" w:ascii="宋体" w:hAnsi="宋体" w:eastAsia="宋体" w:cs="宋体"/>
          <w:b/>
          <w:bCs/>
          <w:color w:val="auto"/>
          <w:szCs w:val="21"/>
          <w:u w:val="single"/>
        </w:rPr>
        <w:t xml:space="preserve"> /</w:t>
      </w:r>
      <w:r>
        <w:rPr>
          <w:rFonts w:hint="eastAsia" w:ascii="宋体" w:hAnsi="宋体" w:eastAsia="宋体" w:cs="宋体"/>
          <w:b/>
          <w:bCs/>
          <w:color w:val="auto"/>
          <w:szCs w:val="21"/>
        </w:rPr>
        <w:t>种方式：</w:t>
      </w:r>
    </w:p>
    <w:p w14:paraId="172A1F7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（1）质量保证金保函，保证金额为：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59BFC12">
      <w:pPr>
        <w:autoSpaceDE w:val="0"/>
        <w:autoSpaceDN w:val="0"/>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（2）</w:t>
      </w:r>
      <w:r>
        <w:rPr>
          <w:rFonts w:hint="eastAsia" w:ascii="宋体" w:hAnsi="宋体" w:eastAsia="宋体" w:cs="宋体"/>
          <w:b/>
          <w:bCs/>
          <w:color w:val="auto"/>
          <w:szCs w:val="21"/>
          <w:u w:val="single"/>
        </w:rPr>
        <w:t xml:space="preserve"> / </w:t>
      </w:r>
      <w:r>
        <w:rPr>
          <w:rFonts w:hint="eastAsia" w:ascii="宋体" w:hAnsi="宋体" w:eastAsia="宋体" w:cs="宋体"/>
          <w:b/>
          <w:bCs/>
          <w:color w:val="auto"/>
          <w:szCs w:val="21"/>
        </w:rPr>
        <w:t>%的工程款；</w:t>
      </w:r>
    </w:p>
    <w:p w14:paraId="4CE1DD8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1F7A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15.3.2 质量保证金的扣留 </w:t>
      </w:r>
    </w:p>
    <w:p w14:paraId="48FF1D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质量保证金的扣留采取以下第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w:t>
      </w:r>
    </w:p>
    <w:p w14:paraId="1E703C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（1）在支付工程进度款时逐次扣留，在此情形下，质量保证金的计算基数不包括预付款的支付、扣回以及价格调整的金额；</w:t>
      </w:r>
    </w:p>
    <w:p w14:paraId="692968B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（2）工程竣工结算时一次性扣留质量保证金；</w:t>
      </w:r>
    </w:p>
    <w:p w14:paraId="7D2166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（3）其他扣留方式: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7328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关于质量保证金的补充约定：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23"/>
    <w:bookmarkEnd w:id="524"/>
    <w:p w14:paraId="7ED116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15.4保修</w:t>
      </w:r>
    </w:p>
    <w:bookmarkEnd w:id="525"/>
    <w:p w14:paraId="349E57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15.4.1 保修责任</w:t>
      </w:r>
    </w:p>
    <w:p w14:paraId="3E17EFF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工程保修期为：</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1年 </w:t>
      </w:r>
      <w:r>
        <w:rPr>
          <w:rFonts w:hint="eastAsia" w:ascii="宋体" w:hAnsi="宋体" w:eastAsia="宋体" w:cs="宋体"/>
          <w:color w:val="auto"/>
          <w:szCs w:val="21"/>
        </w:rPr>
        <w:t>。</w:t>
      </w:r>
    </w:p>
    <w:p w14:paraId="7F61E5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15.4.3 修复通知</w:t>
      </w:r>
    </w:p>
    <w:p w14:paraId="657E9AA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承包人收到保修通知并到达工程现场的合理时间：</w:t>
      </w:r>
      <w:r>
        <w:rPr>
          <w:rFonts w:hint="eastAsia" w:ascii="宋体" w:hAnsi="宋体" w:eastAsia="宋体" w:cs="宋体"/>
          <w:color w:val="auto"/>
          <w:szCs w:val="21"/>
          <w:u w:val="single"/>
        </w:rPr>
        <w:t>执行《通用合同条款》15.4.3款</w:t>
      </w:r>
      <w:r>
        <w:rPr>
          <w:rFonts w:hint="eastAsia" w:ascii="宋体" w:hAnsi="宋体" w:eastAsia="宋体" w:cs="宋体"/>
          <w:color w:val="auto"/>
          <w:szCs w:val="21"/>
        </w:rPr>
        <w:t>。</w:t>
      </w:r>
    </w:p>
    <w:bookmarkEnd w:id="526"/>
    <w:bookmarkEnd w:id="527"/>
    <w:bookmarkEnd w:id="528"/>
    <w:bookmarkEnd w:id="529"/>
    <w:p w14:paraId="31D0E9E1">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52" w:name="_Toc2038"/>
      <w:bookmarkStart w:id="553" w:name="_Toc351203648"/>
      <w:bookmarkStart w:id="554" w:name="_Toc25037"/>
      <w:bookmarkStart w:id="555" w:name="_Toc21024"/>
      <w:bookmarkStart w:id="556" w:name="_Toc17370"/>
      <w:bookmarkStart w:id="557" w:name="_Toc21571"/>
      <w:bookmarkStart w:id="558" w:name="_Toc351203649"/>
      <w:bookmarkStart w:id="559" w:name="_Toc2143"/>
      <w:bookmarkStart w:id="560" w:name="_Toc791"/>
      <w:bookmarkStart w:id="561" w:name="_Toc19758"/>
      <w:bookmarkStart w:id="562" w:name="_Toc4404"/>
      <w:bookmarkStart w:id="563" w:name="_Toc10013"/>
      <w:bookmarkStart w:id="564" w:name="_Toc280868717"/>
      <w:bookmarkStart w:id="565" w:name="_Toc280868718"/>
      <w:r>
        <w:rPr>
          <w:rFonts w:hint="eastAsia" w:ascii="宋体" w:hAnsi="宋体" w:eastAsia="宋体" w:cs="宋体"/>
          <w:bCs/>
          <w:color w:val="auto"/>
          <w:szCs w:val="21"/>
        </w:rPr>
        <w:t>16. 违约</w:t>
      </w:r>
      <w:bookmarkEnd w:id="552"/>
      <w:bookmarkEnd w:id="553"/>
      <w:bookmarkEnd w:id="554"/>
      <w:bookmarkEnd w:id="555"/>
      <w:bookmarkEnd w:id="556"/>
      <w:bookmarkEnd w:id="557"/>
    </w:p>
    <w:p w14:paraId="645023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发包人违约</w:t>
      </w:r>
    </w:p>
    <w:p w14:paraId="656D16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16.1.1发包人违约的情形</w:t>
      </w:r>
    </w:p>
    <w:p w14:paraId="3F14D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发包人违约的其他情形：</w:t>
      </w:r>
      <w:r>
        <w:rPr>
          <w:rFonts w:hint="eastAsia" w:ascii="宋体" w:hAnsi="宋体" w:eastAsia="宋体" w:cs="宋体"/>
          <w:color w:val="auto"/>
          <w:szCs w:val="21"/>
          <w:u w:val="single"/>
        </w:rPr>
        <w:t>执行《通用合同条款》16.1.1款</w:t>
      </w:r>
      <w:r>
        <w:rPr>
          <w:rFonts w:hint="eastAsia" w:ascii="宋体" w:hAnsi="宋体" w:eastAsia="宋体" w:cs="宋体"/>
          <w:color w:val="auto"/>
          <w:szCs w:val="21"/>
        </w:rPr>
        <w:t>。</w:t>
      </w:r>
    </w:p>
    <w:p w14:paraId="34CEE00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16.1.2 发包人违约的责任</w:t>
      </w:r>
    </w:p>
    <w:p w14:paraId="798227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发包人违约责任的承担方式和计算方法：</w:t>
      </w:r>
    </w:p>
    <w:p w14:paraId="524868A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（1）因发包人原因未能在计划开工日期前7天内下达开工通知的违约责任：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52474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pacing w:val="-20"/>
          <w:szCs w:val="21"/>
        </w:rPr>
        <w:t>因发包人原因未能按合同约定支付合同价款的违约责任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CF8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（3）发包人违反第10.1款〔变更的范围〕第（2）项约定，自行实施被取消的工作或转由他人实施的违约责任：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9335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05AE0F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（5）因发包人违反合同约定造成暂停施工的违约责任：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BC04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（6）发包人无正当理由没有在约定期限内发出复工指示，导致承包人无法复工的违约责任：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D43BDF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（7）其他：</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FC379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 承包人违约</w:t>
      </w:r>
    </w:p>
    <w:p w14:paraId="561DA8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16.2.1 承包人违约的情形</w:t>
      </w:r>
    </w:p>
    <w:p w14:paraId="30F91A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承包人违约的其他情形：1）因承包人原因造成工期延误时间累计超过30日历天，发包人有权解除合同。</w:t>
      </w:r>
    </w:p>
    <w:p w14:paraId="5043A3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2）承包人施工中存在重大质量问题或重大安全隐患或发生重大安全事故或出现农民工讨薪、闹事、上访、堵路事件的，发包人有权解除合同。</w:t>
      </w:r>
    </w:p>
    <w:p w14:paraId="6218B8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3）因承包人未按照安全文明施工规定施工或因承包人的其他原因，导致施工项目发生重大群体性事件、发包人或施工项目受到行政处罚或政府部门2次及以上通报批评的，发包人有权解除合同。</w:t>
      </w:r>
    </w:p>
    <w:p w14:paraId="4C50C7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单方解除本合同的，解除合同通知自送达承包人时立即生效。承包人需按专用条款相关约定支付违约金，违约金不足以弥补发包人损失的，承包人还需赔偿损失。合同解除后，承包人应在发包人要求的时间内撤场，并办理现场交接手续，否则每迟延一天，应向发包人支付合同总价款1%的违约金，违约金不足以弥补发包人的损失的，承包人应当赔偿发包人的损失，并且发包人有权自行或者要求第三方进行清场，因此产生的费用由承包人承担，因此给承包人造成的损失也由承包人自行承担，直至承包人完全撤出为止。</w:t>
      </w:r>
    </w:p>
    <w:p w14:paraId="1ED364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本条内容与本合同其他条款冲突的，以本条约定内容为准。</w:t>
      </w:r>
    </w:p>
    <w:p w14:paraId="3FE2DD4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16.2.2承包人违约的责任</w:t>
      </w:r>
    </w:p>
    <w:p w14:paraId="27169F2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承包人违约责任的承担方式和计算方法：</w:t>
      </w:r>
      <w:r>
        <w:rPr>
          <w:rFonts w:hint="eastAsia" w:ascii="宋体" w:hAnsi="宋体" w:eastAsia="宋体" w:cs="宋体"/>
          <w:color w:val="auto"/>
          <w:szCs w:val="21"/>
          <w:u w:val="single"/>
        </w:rPr>
        <w:t xml:space="preserve"> 参照7.5.2条款执行。</w:t>
      </w:r>
    </w:p>
    <w:p w14:paraId="00498D1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16.2.3 因承包人违约解除合同</w:t>
      </w:r>
    </w:p>
    <w:p w14:paraId="752D0E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关于承包人违约解除合同的特别约定：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8BA8D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19CE22">
      <w:pPr>
        <w:keepNext/>
        <w:keepLines/>
        <w:adjustRightInd w:val="0"/>
        <w:snapToGrid w:val="0"/>
        <w:spacing w:line="360" w:lineRule="auto"/>
        <w:ind w:firstLine="420" w:firstLineChars="200"/>
        <w:outlineLvl w:val="2"/>
        <w:rPr>
          <w:rFonts w:ascii="宋体" w:hAnsi="宋体" w:eastAsia="宋体" w:cs="宋体"/>
          <w:bCs/>
          <w:color w:val="auto"/>
          <w:szCs w:val="21"/>
        </w:rPr>
      </w:pPr>
      <w:r>
        <w:rPr>
          <w:rFonts w:hint="eastAsia" w:ascii="宋体" w:hAnsi="宋体" w:eastAsia="宋体" w:cs="宋体"/>
          <w:bCs/>
          <w:color w:val="auto"/>
          <w:szCs w:val="21"/>
        </w:rPr>
        <w:t>17. 不可抗力</w:t>
      </w:r>
      <w:bookmarkEnd w:id="558"/>
      <w:bookmarkEnd w:id="559"/>
      <w:bookmarkEnd w:id="560"/>
      <w:bookmarkEnd w:id="561"/>
      <w:bookmarkEnd w:id="562"/>
      <w:bookmarkEnd w:id="563"/>
      <w:r>
        <w:rPr>
          <w:rFonts w:hint="eastAsia" w:ascii="宋体" w:hAnsi="宋体" w:eastAsia="宋体" w:cs="宋体"/>
          <w:bCs/>
          <w:color w:val="auto"/>
          <w:szCs w:val="21"/>
        </w:rPr>
        <w:t xml:space="preserve"> </w:t>
      </w:r>
      <w:bookmarkEnd w:id="564"/>
    </w:p>
    <w:p w14:paraId="496B3F2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 不可抗力的确认</w:t>
      </w:r>
    </w:p>
    <w:p w14:paraId="04A623E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除通用合同条款约定的不可抗力事件之外，视为不可抗力的其他情形：</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A0292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17.4 因不可抗力解除合同</w:t>
      </w:r>
    </w:p>
    <w:p w14:paraId="0B12E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合同解除后，发包人应在商定或确定发包人应支付款项后</w:t>
      </w:r>
      <w:r>
        <w:rPr>
          <w:rFonts w:hint="eastAsia" w:ascii="宋体" w:hAnsi="宋体" w:eastAsia="宋体" w:cs="宋体"/>
          <w:color w:val="auto"/>
          <w:szCs w:val="21"/>
          <w:u w:val="single"/>
        </w:rPr>
        <w:t xml:space="preserve"> 15 </w:t>
      </w:r>
      <w:r>
        <w:rPr>
          <w:rFonts w:hint="eastAsia" w:ascii="宋体" w:hAnsi="宋体" w:eastAsia="宋体" w:cs="宋体"/>
          <w:color w:val="auto"/>
          <w:szCs w:val="21"/>
        </w:rPr>
        <w:t>天内完成款项的支付。</w:t>
      </w:r>
    </w:p>
    <w:p w14:paraId="69A4FD9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66" w:name="_Toc6257"/>
      <w:bookmarkStart w:id="567" w:name="_Toc1634"/>
      <w:bookmarkStart w:id="568" w:name="_Toc5696"/>
      <w:bookmarkStart w:id="569" w:name="_Toc351203650"/>
      <w:bookmarkStart w:id="570" w:name="_Toc30815"/>
      <w:bookmarkStart w:id="571" w:name="_Toc18400"/>
      <w:r>
        <w:rPr>
          <w:rFonts w:hint="eastAsia" w:ascii="宋体" w:hAnsi="宋体" w:eastAsia="宋体" w:cs="宋体"/>
          <w:bCs/>
          <w:color w:val="auto"/>
          <w:szCs w:val="21"/>
        </w:rPr>
        <w:t>18. 保险</w:t>
      </w:r>
      <w:bookmarkEnd w:id="566"/>
      <w:bookmarkEnd w:id="567"/>
      <w:bookmarkEnd w:id="568"/>
      <w:bookmarkEnd w:id="569"/>
      <w:bookmarkEnd w:id="570"/>
      <w:bookmarkEnd w:id="571"/>
    </w:p>
    <w:bookmarkEnd w:id="565"/>
    <w:p w14:paraId="4F2B52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18.1 工程保险</w:t>
      </w:r>
    </w:p>
    <w:p w14:paraId="349C5C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关于工程保险的特别约定：</w:t>
      </w:r>
      <w:r>
        <w:rPr>
          <w:rFonts w:hint="eastAsia" w:ascii="宋体" w:hAnsi="宋体" w:eastAsia="宋体" w:cs="宋体"/>
          <w:color w:val="auto"/>
          <w:szCs w:val="21"/>
          <w:u w:val="single"/>
        </w:rPr>
        <w:t xml:space="preserve"> 执行《通用合同条款》18.1款 </w:t>
      </w:r>
      <w:r>
        <w:rPr>
          <w:rFonts w:hint="eastAsia" w:ascii="宋体" w:hAnsi="宋体" w:eastAsia="宋体" w:cs="宋体"/>
          <w:color w:val="auto"/>
          <w:szCs w:val="21"/>
        </w:rPr>
        <w:t>。</w:t>
      </w:r>
    </w:p>
    <w:p w14:paraId="043552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18.3 其他保险</w:t>
      </w:r>
    </w:p>
    <w:p w14:paraId="44E891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关于其他保险的约定：</w:t>
      </w:r>
      <w:r>
        <w:rPr>
          <w:rFonts w:hint="eastAsia" w:ascii="宋体" w:hAnsi="宋体" w:eastAsia="宋体" w:cs="宋体"/>
          <w:color w:val="auto"/>
          <w:szCs w:val="21"/>
          <w:u w:val="single"/>
        </w:rPr>
        <w:t xml:space="preserve"> 执行《通用合同条款》18.3款 </w:t>
      </w:r>
      <w:r>
        <w:rPr>
          <w:rFonts w:hint="eastAsia" w:ascii="宋体" w:hAnsi="宋体" w:eastAsia="宋体" w:cs="宋体"/>
          <w:color w:val="auto"/>
          <w:szCs w:val="21"/>
        </w:rPr>
        <w:t>。</w:t>
      </w:r>
    </w:p>
    <w:p w14:paraId="06A04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承包人是否应为其施工设备等办理财产保险：</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4D60A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18.7 通知义务</w:t>
      </w:r>
    </w:p>
    <w:p w14:paraId="3EAA5B2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关于变更保险合同时的通知义务的约定：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30"/>
    <w:bookmarkEnd w:id="531"/>
    <w:bookmarkEnd w:id="532"/>
    <w:bookmarkEnd w:id="533"/>
    <w:bookmarkEnd w:id="534"/>
    <w:bookmarkEnd w:id="535"/>
    <w:bookmarkEnd w:id="536"/>
    <w:bookmarkEnd w:id="537"/>
    <w:bookmarkEnd w:id="538"/>
    <w:bookmarkEnd w:id="539"/>
    <w:bookmarkEnd w:id="540"/>
    <w:bookmarkEnd w:id="541"/>
    <w:p w14:paraId="668FC52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72" w:name="_Toc5079"/>
      <w:bookmarkStart w:id="573" w:name="_Toc9430"/>
      <w:bookmarkStart w:id="574" w:name="_Toc9386"/>
      <w:bookmarkStart w:id="575" w:name="_Toc21173"/>
      <w:bookmarkStart w:id="576" w:name="_Toc351203651"/>
      <w:bookmarkStart w:id="577" w:name="_Toc2541"/>
      <w:r>
        <w:rPr>
          <w:rFonts w:hint="eastAsia" w:ascii="宋体" w:hAnsi="宋体" w:eastAsia="宋体" w:cs="宋体"/>
          <w:bCs/>
          <w:color w:val="auto"/>
          <w:szCs w:val="21"/>
        </w:rPr>
        <w:t>20. 争议解决</w:t>
      </w:r>
      <w:bookmarkEnd w:id="572"/>
      <w:bookmarkEnd w:id="573"/>
      <w:bookmarkEnd w:id="574"/>
      <w:bookmarkEnd w:id="575"/>
      <w:bookmarkEnd w:id="576"/>
      <w:bookmarkEnd w:id="577"/>
    </w:p>
    <w:bookmarkEnd w:id="542"/>
    <w:bookmarkEnd w:id="543"/>
    <w:p w14:paraId="3E0AAE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 争</w:t>
      </w:r>
      <w:bookmarkEnd w:id="544"/>
      <w:r>
        <w:rPr>
          <w:rFonts w:hint="eastAsia" w:ascii="宋体" w:hAnsi="宋体" w:eastAsia="宋体" w:cs="宋体"/>
          <w:color w:val="auto"/>
          <w:szCs w:val="21"/>
        </w:rPr>
        <w:t>议评审</w:t>
      </w:r>
    </w:p>
    <w:p w14:paraId="681A57A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合同当事人是否同意将工程争议提交争议评审小组决定：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D3AC9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20.3.1 争议评审小组的确定</w:t>
      </w:r>
    </w:p>
    <w:p w14:paraId="2DF99632">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争议评审小组成员的确定：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BAA0B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选定争议评审员的期限：</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50036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争议评审小组成员的报酬承担方式：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2B5B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642E64F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20.3.2 争议评审小组的决定</w:t>
      </w:r>
    </w:p>
    <w:p w14:paraId="3EA6BA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合同当事人关于本项的约定：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35AE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20.4仲裁或诉讼</w:t>
      </w:r>
      <w:bookmarkEnd w:id="545"/>
    </w:p>
    <w:p w14:paraId="1ED8C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因合同及合同有关事项发生的争议，按下列第</w:t>
      </w:r>
      <w:r>
        <w:rPr>
          <w:rFonts w:hint="eastAsia" w:ascii="宋体" w:hAnsi="宋体" w:eastAsia="宋体" w:cs="宋体"/>
          <w:color w:val="auto"/>
          <w:szCs w:val="21"/>
          <w:u w:val="single"/>
        </w:rPr>
        <w:t xml:space="preserve"> 2 </w:t>
      </w:r>
      <w:r>
        <w:rPr>
          <w:rFonts w:hint="eastAsia" w:ascii="宋体" w:hAnsi="宋体" w:eastAsia="宋体" w:cs="宋体"/>
          <w:color w:val="auto"/>
          <w:szCs w:val="21"/>
        </w:rPr>
        <w:t>种方式解决：</w:t>
      </w:r>
    </w:p>
    <w:p w14:paraId="094A5E16">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（1）向</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仲裁委员会申请仲裁；</w:t>
      </w:r>
    </w:p>
    <w:p w14:paraId="71F7FB98">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（2）向</w:t>
      </w:r>
      <w:r>
        <w:rPr>
          <w:rFonts w:hint="eastAsia" w:ascii="宋体" w:hAnsi="宋体" w:eastAsia="宋体" w:cs="宋体"/>
          <w:color w:val="auto"/>
          <w:szCs w:val="21"/>
          <w:u w:val="single"/>
        </w:rPr>
        <w:t xml:space="preserve"> 工程所在地有管辖权的 </w:t>
      </w:r>
      <w:r>
        <w:rPr>
          <w:rFonts w:hint="eastAsia" w:ascii="宋体" w:hAnsi="宋体" w:eastAsia="宋体" w:cs="宋体"/>
          <w:color w:val="auto"/>
          <w:szCs w:val="21"/>
        </w:rPr>
        <w:t>人民法院起诉。</w:t>
      </w:r>
      <w:bookmarkEnd w:id="546"/>
      <w:bookmarkEnd w:id="547"/>
      <w:bookmarkEnd w:id="548"/>
      <w:bookmarkEnd w:id="549"/>
      <w:bookmarkEnd w:id="550"/>
      <w:bookmarkEnd w:id="551"/>
    </w:p>
    <w:p w14:paraId="2C9B6B7B">
      <w:pPr>
        <w:pStyle w:val="17"/>
        <w:rPr>
          <w:rFonts w:hint="eastAsia" w:ascii="仿宋_GB2312" w:hAnsi="仿宋_GB2312" w:eastAsia="仿宋_GB2312" w:cs="仿宋_GB2312"/>
          <w:color w:val="auto"/>
          <w:lang w:val="en-US" w:eastAsia="zh-Hans"/>
        </w:rPr>
      </w:pPr>
    </w:p>
    <w:p w14:paraId="4B9BB28A">
      <w:pPr>
        <w:rPr>
          <w:color w:val="auto"/>
        </w:rPr>
      </w:pPr>
    </w:p>
    <w:p w14:paraId="05FB63AA">
      <w:pPr>
        <w:rPr>
          <w:rFonts w:hint="eastAsia" w:ascii="仿宋_GB2312" w:hAnsi="仿宋_GB2312" w:eastAsia="仿宋_GB2312" w:cs="仿宋_GB2312"/>
          <w:lang w:val="en-US" w:eastAsia="zh-Hans"/>
        </w:rPr>
      </w:pPr>
      <w:bookmarkStart w:id="578" w:name="_GoBack"/>
      <w:bookmarkEnd w:id="578"/>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E141">
    <w:pPr>
      <w:pStyle w:val="11"/>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32275"/>
    <w:multiLevelType w:val="singleLevel"/>
    <w:tmpl w:val="36732275"/>
    <w:lvl w:ilvl="0" w:tentative="0">
      <w:start w:val="1"/>
      <w:numFmt w:val="decimal"/>
      <w:suff w:val="space"/>
      <w:lvlText w:val="（%1）"/>
      <w:lvlJc w:val="left"/>
    </w:lvl>
  </w:abstractNum>
  <w:abstractNum w:abstractNumId="1">
    <w:nsid w:val="593759C5"/>
    <w:multiLevelType w:val="multilevel"/>
    <w:tmpl w:val="593759C5"/>
    <w:lvl w:ilvl="0" w:tentative="0">
      <w:start w:val="12"/>
      <w:numFmt w:val="decimal"/>
      <w:lvlText w:val="%1"/>
      <w:lvlJc w:val="left"/>
      <w:pPr>
        <w:ind w:left="840" w:hanging="840"/>
      </w:pPr>
    </w:lvl>
    <w:lvl w:ilvl="1" w:tentative="0">
      <w:start w:val="4"/>
      <w:numFmt w:val="decimal"/>
      <w:lvlText w:val="%1.%2"/>
      <w:lvlJc w:val="left"/>
      <w:pPr>
        <w:ind w:left="1120" w:hanging="840"/>
      </w:pPr>
    </w:lvl>
    <w:lvl w:ilvl="2" w:tentative="0">
      <w:start w:val="1"/>
      <w:numFmt w:val="decimal"/>
      <w:lvlText w:val="%1.%2.%3"/>
      <w:lvlJc w:val="left"/>
      <w:pPr>
        <w:ind w:left="1400" w:hanging="840"/>
      </w:pPr>
    </w:lvl>
    <w:lvl w:ilvl="3" w:tentative="0">
      <w:start w:val="1"/>
      <w:numFmt w:val="decimal"/>
      <w:lvlText w:val="%1.%2.%3.%4"/>
      <w:lvlJc w:val="left"/>
      <w:pPr>
        <w:ind w:left="1920" w:hanging="1080"/>
      </w:pPr>
    </w:lvl>
    <w:lvl w:ilvl="4" w:tentative="0">
      <w:start w:val="1"/>
      <w:numFmt w:val="decimal"/>
      <w:lvlText w:val="%1.%2.%3.%4.%5"/>
      <w:lvlJc w:val="left"/>
      <w:pPr>
        <w:ind w:left="2560" w:hanging="1440"/>
      </w:pPr>
    </w:lvl>
    <w:lvl w:ilvl="5" w:tentative="0">
      <w:start w:val="1"/>
      <w:numFmt w:val="decimal"/>
      <w:lvlText w:val="%1.%2.%3.%4.%5.%6"/>
      <w:lvlJc w:val="left"/>
      <w:pPr>
        <w:ind w:left="3200" w:hanging="1800"/>
      </w:pPr>
    </w:lvl>
    <w:lvl w:ilvl="6" w:tentative="0">
      <w:start w:val="1"/>
      <w:numFmt w:val="decimal"/>
      <w:lvlText w:val="%1.%2.%3.%4.%5.%6.%7"/>
      <w:lvlJc w:val="left"/>
      <w:pPr>
        <w:ind w:left="3840" w:hanging="2160"/>
      </w:pPr>
    </w:lvl>
    <w:lvl w:ilvl="7" w:tentative="0">
      <w:start w:val="1"/>
      <w:numFmt w:val="decimal"/>
      <w:lvlText w:val="%1.%2.%3.%4.%5.%6.%7.%8"/>
      <w:lvlJc w:val="left"/>
      <w:pPr>
        <w:ind w:left="4120" w:hanging="2160"/>
      </w:pPr>
    </w:lvl>
    <w:lvl w:ilvl="8" w:tentative="0">
      <w:start w:val="1"/>
      <w:numFmt w:val="decimal"/>
      <w:lvlText w:val="%1.%2.%3.%4.%5.%6.%7.%8.%9"/>
      <w:lvlJc w:val="left"/>
      <w:pPr>
        <w:ind w:left="4760" w:hanging="2520"/>
      </w:pPr>
    </w:lvl>
  </w:abstractNum>
  <w:abstractNum w:abstractNumId="2">
    <w:nsid w:val="5D914284"/>
    <w:multiLevelType w:val="multilevel"/>
    <w:tmpl w:val="5D914284"/>
    <w:lvl w:ilvl="0" w:tentative="0">
      <w:start w:val="1"/>
      <w:numFmt w:val="decimal"/>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0E3E40"/>
    <w:rsid w:val="07113292"/>
    <w:rsid w:val="07BE58E7"/>
    <w:rsid w:val="0B205E8A"/>
    <w:rsid w:val="11292C77"/>
    <w:rsid w:val="15A46B04"/>
    <w:rsid w:val="177F50ED"/>
    <w:rsid w:val="1A312E6E"/>
    <w:rsid w:val="21595797"/>
    <w:rsid w:val="22512CBB"/>
    <w:rsid w:val="22574FDF"/>
    <w:rsid w:val="22C26033"/>
    <w:rsid w:val="232407C3"/>
    <w:rsid w:val="24620843"/>
    <w:rsid w:val="2B6D12EE"/>
    <w:rsid w:val="2BFF1029"/>
    <w:rsid w:val="2C055EF2"/>
    <w:rsid w:val="2CB206A6"/>
    <w:rsid w:val="2DD7166D"/>
    <w:rsid w:val="2E59439D"/>
    <w:rsid w:val="336819E3"/>
    <w:rsid w:val="36CA61CB"/>
    <w:rsid w:val="37EE5A6D"/>
    <w:rsid w:val="3BB93AF5"/>
    <w:rsid w:val="3CC50F8A"/>
    <w:rsid w:val="3CFE0F2C"/>
    <w:rsid w:val="3D1C226A"/>
    <w:rsid w:val="3E453C51"/>
    <w:rsid w:val="400E1C0F"/>
    <w:rsid w:val="40A82311"/>
    <w:rsid w:val="41D139B0"/>
    <w:rsid w:val="422F75A9"/>
    <w:rsid w:val="46F67022"/>
    <w:rsid w:val="48B77C7A"/>
    <w:rsid w:val="48CE2C81"/>
    <w:rsid w:val="49184C58"/>
    <w:rsid w:val="4B224EFA"/>
    <w:rsid w:val="4B47288B"/>
    <w:rsid w:val="4CA3296A"/>
    <w:rsid w:val="4CFA5361"/>
    <w:rsid w:val="4D08736C"/>
    <w:rsid w:val="4EA113ED"/>
    <w:rsid w:val="4F534522"/>
    <w:rsid w:val="4FAB0A89"/>
    <w:rsid w:val="50BA1C02"/>
    <w:rsid w:val="51A14960"/>
    <w:rsid w:val="53803A05"/>
    <w:rsid w:val="539E2231"/>
    <w:rsid w:val="53B52B8D"/>
    <w:rsid w:val="556A5FED"/>
    <w:rsid w:val="574727AC"/>
    <w:rsid w:val="57E5652D"/>
    <w:rsid w:val="5A5140F9"/>
    <w:rsid w:val="5E7C032A"/>
    <w:rsid w:val="5EB06589"/>
    <w:rsid w:val="5F6D308F"/>
    <w:rsid w:val="613849AE"/>
    <w:rsid w:val="61F22E1A"/>
    <w:rsid w:val="62C83819"/>
    <w:rsid w:val="64F347C2"/>
    <w:rsid w:val="66014151"/>
    <w:rsid w:val="69321402"/>
    <w:rsid w:val="69C60B83"/>
    <w:rsid w:val="6A695917"/>
    <w:rsid w:val="6AD677EB"/>
    <w:rsid w:val="6ADB40DC"/>
    <w:rsid w:val="6E9E5542"/>
    <w:rsid w:val="6EBD0EEE"/>
    <w:rsid w:val="7088275D"/>
    <w:rsid w:val="70ED4030"/>
    <w:rsid w:val="73140E07"/>
    <w:rsid w:val="73BF5DD6"/>
    <w:rsid w:val="74E0132E"/>
    <w:rsid w:val="75345D54"/>
    <w:rsid w:val="763F69C9"/>
    <w:rsid w:val="767F3DB0"/>
    <w:rsid w:val="77F79321"/>
    <w:rsid w:val="782E7E80"/>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2996</Words>
  <Characters>3280</Characters>
  <Lines>0</Lines>
  <Paragraphs>0</Paragraphs>
  <TotalTime>2</TotalTime>
  <ScaleCrop>false</ScaleCrop>
  <LinksUpToDate>false</LinksUpToDate>
  <CharactersWithSpaces>3317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2025-10-23T03:03:31Z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