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版本号：HYTF-202510087-120251023001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关于检验系统与陕西省非税暨票据管理一体化平台数据对接项目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HYTF-202510087-1</w:t>
      </w:r>
      <w:r>
        <w:br/>
      </w:r>
      <w:r>
        <w:br/>
      </w:r>
      <w:r>
        <w:br/>
      </w:r>
    </w:p>
    <w:p>
      <w:pPr>
        <w:pStyle w:val="null3"/>
        <w:jc w:val="center"/>
        <w:outlineLvl w:val="2"/>
      </w:pPr>
      <w:r>
        <w:rPr>
          <w:rFonts w:ascii="仿宋_GB2312" w:hAnsi="仿宋_GB2312" w:cs="仿宋_GB2312" w:eastAsia="仿宋_GB2312"/>
          <w:sz w:val="28"/>
          <w:b/>
        </w:rPr>
        <w:t>西安特种设备检验检测院</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西安特种设备检验检测院</w:t>
      </w:r>
      <w:r>
        <w:rPr>
          <w:rFonts w:ascii="仿宋_GB2312" w:hAnsi="仿宋_GB2312" w:cs="仿宋_GB2312" w:eastAsia="仿宋_GB2312"/>
        </w:rPr>
        <w:t>委托，拟对</w:t>
      </w:r>
      <w:r>
        <w:rPr>
          <w:rFonts w:ascii="仿宋_GB2312" w:hAnsi="仿宋_GB2312" w:cs="仿宋_GB2312" w:eastAsia="仿宋_GB2312"/>
        </w:rPr>
        <w:t>关于检验系统与陕西省非税暨票据管理一体化平台数据对接项目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HYTF-202510087-1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关于检验系统与陕西省非税暨票据管理一体化平台数据对接项目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关于检验系统与陕西省非税暨票据管理一体化平台数据对接项目，1项。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4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4、社保缴纳证明：提供2025年4月至今已缴存任意一个月社会保障资金缴存单据或社保机构开具的社会保险参保缴费证明，依法不需要缴纳社会保障资金的单位应提供相应证明文件；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西安特种设备检验检测院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西安市高新区团结南路69号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029-88763465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王维、李亚容、赵维、马国宇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西安特种设备检验检测院</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西安特种设备检验检测院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西安特种设备检验检测院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地址：陕西省西安市高新区沣惠路16号泰华金贸国际8号楼28层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关于检验系统与陕西省非税暨票据管理一体化平台数据对接项目，1项。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240"/>
              <w:ind w:firstLine="482"/>
              <w:jc w:val="left"/>
            </w:pPr>
            <w:r>
              <w:rPr>
                <w:rFonts w:ascii="仿宋_GB2312" w:hAnsi="仿宋_GB2312" w:cs="仿宋_GB2312" w:eastAsia="仿宋_GB2312"/>
                <w:sz w:val="24"/>
                <w:b/>
              </w:rPr>
              <w:t>（一）建设背景</w:t>
            </w:r>
          </w:p>
          <w:p>
            <w:pPr>
              <w:pStyle w:val="null3"/>
              <w:ind w:firstLine="480"/>
            </w:pPr>
            <w:r>
              <w:rPr>
                <w:rFonts w:ascii="仿宋_GB2312" w:hAnsi="仿宋_GB2312" w:cs="仿宋_GB2312" w:eastAsia="仿宋_GB2312"/>
                <w:sz w:val="24"/>
              </w:rPr>
              <w:t>2025年3月，财政部印发《财政部办公厅关于进一步加强地方非税收入收缴管理有关事项的通知》（财办库〔2025〕41号），切实优化非税收入收缴业务流程，全面使用电子非税收入一般缴款书，及时掌握每笔非税收入的缴库明细信息；要加强对集中汇缴非税收入的管理，结合非税收入收缴电子化改革进展，推动具备条件的集中汇缴非税收入实行直接缴库；同时要对非税收入收缴管理实施涵盖事前、事中、事后的全链条监督检查；进一步加强非税直缴管理、非税收入一般缴款书管理，实现“应缴尽缴、应开尽开”。</w:t>
            </w:r>
          </w:p>
          <w:p>
            <w:pPr>
              <w:pStyle w:val="null3"/>
              <w:spacing w:before="240" w:after="240"/>
              <w:ind w:firstLine="482"/>
              <w:jc w:val="left"/>
            </w:pPr>
            <w:r>
              <w:rPr>
                <w:rFonts w:ascii="仿宋_GB2312" w:hAnsi="仿宋_GB2312" w:cs="仿宋_GB2312" w:eastAsia="仿宋_GB2312"/>
                <w:sz w:val="24"/>
                <w:b/>
              </w:rPr>
              <w:t>（二）建设目标</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1）满足财政非税电子化的改革规范</w:t>
            </w:r>
          </w:p>
          <w:p>
            <w:pPr>
              <w:pStyle w:val="null3"/>
              <w:ind w:firstLine="480"/>
            </w:pPr>
            <w:r>
              <w:rPr>
                <w:rFonts w:ascii="仿宋_GB2312" w:hAnsi="仿宋_GB2312" w:cs="仿宋_GB2312" w:eastAsia="仿宋_GB2312"/>
                <w:sz w:val="24"/>
              </w:rPr>
              <w:t>系统将西安特检院非税收费项目纳入财政非税电子化管理，实现非税资金及时足额直缴缴入陕西省财政国库，满足财政非税电子化的改革规范。</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2）纳入线上、线下缴费场景，个人、对公收费项目，统一管理</w:t>
            </w:r>
          </w:p>
          <w:p>
            <w:pPr>
              <w:pStyle w:val="null3"/>
              <w:ind w:firstLine="480"/>
            </w:pPr>
            <w:r>
              <w:rPr>
                <w:rFonts w:ascii="仿宋_GB2312" w:hAnsi="仿宋_GB2312" w:cs="仿宋_GB2312" w:eastAsia="仿宋_GB2312"/>
                <w:sz w:val="24"/>
              </w:rPr>
              <w:t>系统通过与西安特检院业务系统对接，纳入线上、线下全部缴费场景、个人、对公缴费类别；通过接口打通，实现统一缴费、退费、对账、获票，方便工作人员统一管理，极大减轻工作人员人工处理业务，提升工作人员工作效率。</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3）丰富缴款方式，拓展支付渠道，让缴款人缴款更方便</w:t>
            </w:r>
          </w:p>
          <w:p>
            <w:pPr>
              <w:pStyle w:val="null3"/>
              <w:ind w:firstLine="480"/>
            </w:pPr>
            <w:r>
              <w:rPr>
                <w:rFonts w:ascii="仿宋_GB2312" w:hAnsi="仿宋_GB2312" w:cs="仿宋_GB2312" w:eastAsia="仿宋_GB2312"/>
                <w:sz w:val="24"/>
              </w:rPr>
              <w:t>基于财政非税收缴电子化基础上，接入微信、支付宝等主流互联网支付渠道，为缴款人个人缴费提供更丰富、更灵活的缴款选择，让缴款更方便。</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4）实现非税收缴及获票业务一站式服务</w:t>
            </w:r>
          </w:p>
          <w:p>
            <w:pPr>
              <w:pStyle w:val="null3"/>
              <w:ind w:firstLine="480"/>
            </w:pPr>
            <w:r>
              <w:rPr>
                <w:rFonts w:ascii="仿宋_GB2312" w:hAnsi="仿宋_GB2312" w:cs="仿宋_GB2312" w:eastAsia="仿宋_GB2312"/>
                <w:sz w:val="24"/>
              </w:rPr>
              <w:t>通过与西安特检院业务系统无缝衔接，实现全部检验费等非税收费项目的的业务办理在业务系统完成，实时获取电子票据一站式服务流程，提升用户体验，加强单位信息化建设。</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5）电子票据自动开具，避免人工操作风险。</w:t>
            </w:r>
          </w:p>
          <w:p>
            <w:pPr>
              <w:pStyle w:val="null3"/>
              <w:ind w:firstLine="480"/>
            </w:pPr>
            <w:r>
              <w:rPr>
                <w:rFonts w:ascii="仿宋_GB2312" w:hAnsi="仿宋_GB2312" w:cs="仿宋_GB2312" w:eastAsia="仿宋_GB2312"/>
                <w:sz w:val="24"/>
              </w:rPr>
              <w:t>根据业务系统上传的待开票信息，经过校验后自动开具电子票据，有效避免传统纸质票据在人工录入票据信息时，因操作失误而引起的票据冲红、作废，保障了电子票据的真实性，有效性，同时减轻了工作人员填开、打印纸质票据的工作负担，提升了单位的票据管理及服务水平。</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6）电子票据多渠道交付，安全存储。</w:t>
            </w:r>
          </w:p>
          <w:p>
            <w:pPr>
              <w:pStyle w:val="null3"/>
              <w:ind w:firstLine="480"/>
            </w:pPr>
            <w:r>
              <w:rPr>
                <w:rFonts w:ascii="仿宋_GB2312" w:hAnsi="仿宋_GB2312" w:cs="仿宋_GB2312" w:eastAsia="仿宋_GB2312"/>
                <w:sz w:val="24"/>
              </w:rPr>
              <w:t>随着社会信息化水平的提高，传统的纸质票据无法满足当前社会发展的需要。尤其在票据交付过程中存在诸多不便。上线电子票据后，提供多渠道的电子票据交付方式，满足单位和缴款人实时获取电子票据的需求。单位无需通过邮寄的方式将票据交付给缴款人，大大节约了单位的邮寄成本，缴款人也无需专门到单位领取票据，为缴款人节约了大量的时间，真正做到了缴款人获取票据</w:t>
            </w:r>
            <w:r>
              <w:rPr>
                <w:rFonts w:ascii="仿宋_GB2312" w:hAnsi="仿宋_GB2312" w:cs="仿宋_GB2312" w:eastAsia="仿宋_GB2312"/>
                <w:sz w:val="24"/>
              </w:rPr>
              <w:t>“一趟也不跑”，提高服务口碑。</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7）票据存储安全，社会化流转便捷。</w:t>
            </w:r>
          </w:p>
          <w:p>
            <w:pPr>
              <w:pStyle w:val="null3"/>
              <w:ind w:firstLine="480"/>
            </w:pPr>
            <w:r>
              <w:rPr>
                <w:rFonts w:ascii="仿宋_GB2312" w:hAnsi="仿宋_GB2312" w:cs="仿宋_GB2312" w:eastAsia="仿宋_GB2312"/>
                <w:sz w:val="24"/>
              </w:rPr>
              <w:t>电子票据是从省财政厅票据管理平台获取，纳入财政统一管理，电子票据与纸质票据用于同等效力。可永久保存，防丢失，不可篡改，且可根据实际需要将电子票据发送给他人，社会化流转便捷。</w:t>
            </w:r>
          </w:p>
          <w:p>
            <w:pPr>
              <w:pStyle w:val="null3"/>
              <w:spacing w:before="240" w:after="240"/>
              <w:ind w:firstLine="482"/>
              <w:jc w:val="left"/>
            </w:pPr>
            <w:r>
              <w:rPr>
                <w:rFonts w:ascii="仿宋_GB2312" w:hAnsi="仿宋_GB2312" w:cs="仿宋_GB2312" w:eastAsia="仿宋_GB2312"/>
                <w:sz w:val="24"/>
                <w:b/>
              </w:rPr>
              <w:t>（三）建设需求</w:t>
            </w:r>
          </w:p>
          <w:p>
            <w:pPr>
              <w:pStyle w:val="null3"/>
              <w:ind w:firstLine="480"/>
            </w:pPr>
            <w:r>
              <w:rPr>
                <w:rFonts w:ascii="仿宋_GB2312" w:hAnsi="仿宋_GB2312" w:cs="仿宋_GB2312" w:eastAsia="仿宋_GB2312"/>
                <w:sz w:val="24"/>
              </w:rPr>
              <w:t>建设西安特检院非税清分缴费前置服务，主要实现与西安特检院业务系统、互联网支付渠道、财政非税票据一体化系统对接，支持个人远程公众号、小程序线上缴费，窗口扫码现场缴费等场景；完成西安特检院电子化、自动化非税缴费、对账、退付、清分等业务，实现业务办理、互联网缴费、获取电子票据一站式服务流程，满足</w:t>
            </w:r>
            <w:r>
              <w:rPr>
                <w:rFonts w:ascii="仿宋_GB2312" w:hAnsi="仿宋_GB2312" w:cs="仿宋_GB2312" w:eastAsia="仿宋_GB2312"/>
                <w:sz w:val="24"/>
              </w:rPr>
              <w:t>“数据多跑路，群众不跑腿”的目标。</w:t>
            </w:r>
          </w:p>
          <w:p>
            <w:pPr>
              <w:pStyle w:val="null3"/>
              <w:ind w:firstLine="480"/>
            </w:pPr>
            <w:r>
              <w:rPr>
                <w:rFonts w:ascii="仿宋_GB2312" w:hAnsi="仿宋_GB2312" w:cs="仿宋_GB2312" w:eastAsia="仿宋_GB2312"/>
                <w:sz w:val="24"/>
              </w:rPr>
              <w:t>系统同样支持个人大额和对公业务，跨行业务告知缴款人虚拟账号，同行业务告知缴款人缴款码，通过企业网银或柜面等渠道缴纳；系统支持非税电子化的改革核心标准</w:t>
            </w:r>
            <w:r>
              <w:rPr>
                <w:rFonts w:ascii="仿宋_GB2312" w:hAnsi="仿宋_GB2312" w:cs="仿宋_GB2312" w:eastAsia="仿宋_GB2312"/>
                <w:sz w:val="24"/>
              </w:rPr>
              <w:t>“双码一通道”，完成西安特检院非税收费项目及时足额直缴缴入财政国库。</w:t>
            </w:r>
          </w:p>
          <w:p>
            <w:pPr>
              <w:pStyle w:val="null3"/>
              <w:ind w:firstLine="480"/>
            </w:pPr>
            <w:r>
              <w:rPr>
                <w:rFonts w:ascii="仿宋_GB2312" w:hAnsi="仿宋_GB2312" w:cs="仿宋_GB2312" w:eastAsia="仿宋_GB2312"/>
                <w:sz w:val="24"/>
              </w:rPr>
              <w:t>系统支持财政电子票据的开具、送达、查验、对账、归档等业务。严格遵循财政部财政电子票据管理改革的标准规范和业务要求，财政电子票据在生成、传输、储存等过程中，始终保持真实、完整、唯一、安全、未被篡改。以及实现非税收入缴款通知书的开具、作废、同步财政非税系统、缴款书缴款确认等业务。系统可实现缴费业务数据自动传输、电子票据自动生成、查看及冲红电子票据的功能。</w:t>
            </w:r>
          </w:p>
          <w:p>
            <w:pPr>
              <w:pStyle w:val="null3"/>
              <w:ind w:firstLine="480"/>
            </w:pPr>
            <w:r>
              <w:rPr>
                <w:rFonts w:ascii="仿宋_GB2312" w:hAnsi="仿宋_GB2312" w:cs="仿宋_GB2312" w:eastAsia="仿宋_GB2312"/>
                <w:sz w:val="24"/>
              </w:rPr>
              <w:t>需提供建设内容、总体业务图、总体业务场景图，并详细描述。</w:t>
            </w:r>
          </w:p>
          <w:p>
            <w:pPr>
              <w:pStyle w:val="null3"/>
              <w:spacing w:before="240" w:after="240"/>
              <w:ind w:firstLine="482"/>
              <w:jc w:val="left"/>
            </w:pPr>
            <w:r>
              <w:rPr>
                <w:rFonts w:ascii="仿宋_GB2312" w:hAnsi="仿宋_GB2312" w:cs="仿宋_GB2312" w:eastAsia="仿宋_GB2312"/>
                <w:sz w:val="24"/>
                <w:b/>
              </w:rPr>
              <w:t>（四）业务需求</w:t>
            </w:r>
          </w:p>
          <w:p>
            <w:pPr>
              <w:pStyle w:val="null3"/>
              <w:spacing w:before="240" w:after="240"/>
              <w:ind w:firstLine="482"/>
              <w:jc w:val="left"/>
            </w:pPr>
            <w:r>
              <w:rPr>
                <w:rFonts w:ascii="仿宋_GB2312" w:hAnsi="仿宋_GB2312" w:cs="仿宋_GB2312" w:eastAsia="仿宋_GB2312"/>
                <w:sz w:val="24"/>
              </w:rPr>
              <w:t>本项目总体业务包含个人小额线上缴费，个人窗口小额扫码缴费，个人大额、对公业务银行自有渠道缴费，交易对账，资金退付，资金清分，电子缴款书获取等业务需求；需提供业务流程图及每个业务的详细说明；并符合财政非税收缴电子化、电子票据管理的业务规范及业务流程。</w:t>
            </w:r>
          </w:p>
          <w:p>
            <w:pPr>
              <w:pStyle w:val="null3"/>
              <w:spacing w:before="240" w:after="240"/>
              <w:ind w:firstLine="482"/>
              <w:jc w:val="left"/>
            </w:pPr>
            <w:r>
              <w:rPr>
                <w:rFonts w:ascii="仿宋_GB2312" w:hAnsi="仿宋_GB2312" w:cs="仿宋_GB2312" w:eastAsia="仿宋_GB2312"/>
                <w:sz w:val="24"/>
                <w:b/>
              </w:rPr>
              <w:t>（五）功能需求</w:t>
            </w:r>
          </w:p>
          <w:p>
            <w:pPr>
              <w:pStyle w:val="null3"/>
              <w:ind w:firstLine="480"/>
            </w:pPr>
            <w:r>
              <w:rPr>
                <w:rFonts w:ascii="仿宋_GB2312" w:hAnsi="仿宋_GB2312" w:cs="仿宋_GB2312" w:eastAsia="仿宋_GB2312"/>
                <w:sz w:val="24"/>
              </w:rPr>
              <w:t>本项目需包含以下主要核心功能：缴费服务、对账服务、退付服务、清分服务、电子票据服务等功能，每个功能符合陕西财政非税收缴电子化、电子票据管理的业务规范。</w:t>
            </w:r>
          </w:p>
          <w:p>
            <w:pPr>
              <w:pStyle w:val="null3"/>
              <w:spacing w:before="240" w:after="240"/>
              <w:ind w:firstLine="482"/>
              <w:jc w:val="left"/>
            </w:pPr>
            <w:r>
              <w:rPr>
                <w:rFonts w:ascii="仿宋_GB2312" w:hAnsi="仿宋_GB2312" w:cs="仿宋_GB2312" w:eastAsia="仿宋_GB2312"/>
                <w:sz w:val="24"/>
                <w:b/>
              </w:rPr>
              <w:t>（六）接口对接需求</w:t>
            </w:r>
          </w:p>
          <w:p>
            <w:pPr>
              <w:pStyle w:val="null3"/>
              <w:ind w:firstLine="480"/>
            </w:pPr>
            <w:r>
              <w:rPr>
                <w:rFonts w:ascii="仿宋_GB2312" w:hAnsi="仿宋_GB2312" w:cs="仿宋_GB2312" w:eastAsia="仿宋_GB2312"/>
                <w:sz w:val="24"/>
              </w:rPr>
              <w:t>包括与业务系统对接接口设计、与互联网支付渠道对接接口设计、与财政非税票据一体化系统对接接口设计等。</w:t>
            </w:r>
          </w:p>
          <w:p>
            <w:pPr>
              <w:pStyle w:val="null3"/>
              <w:spacing w:before="240" w:after="240"/>
              <w:ind w:firstLine="482"/>
              <w:jc w:val="left"/>
            </w:pPr>
            <w:r>
              <w:rPr>
                <w:rFonts w:ascii="仿宋_GB2312" w:hAnsi="仿宋_GB2312" w:cs="仿宋_GB2312" w:eastAsia="仿宋_GB2312"/>
                <w:sz w:val="24"/>
                <w:b/>
              </w:rPr>
              <w:t>（七）项目组人员需求</w:t>
            </w:r>
          </w:p>
          <w:p>
            <w:pPr>
              <w:pStyle w:val="null3"/>
              <w:ind w:firstLine="480"/>
            </w:pPr>
            <w:r>
              <w:rPr>
                <w:rFonts w:ascii="仿宋_GB2312" w:hAnsi="仿宋_GB2312" w:cs="仿宋_GB2312" w:eastAsia="仿宋_GB2312"/>
                <w:sz w:val="24"/>
              </w:rPr>
              <w:t>供应商应保证其技术服务人员拥有从事本项目实施和售后工作的专业胜任能力和相关经验，确保实施团队能够及时解决或协助解决系统运行故障，并且能够在正常时间内完成服务项目任务。</w:t>
            </w:r>
          </w:p>
          <w:p>
            <w:pPr>
              <w:pStyle w:val="null3"/>
              <w:spacing w:before="240" w:after="240"/>
              <w:ind w:firstLine="482"/>
              <w:jc w:val="left"/>
            </w:pPr>
            <w:r>
              <w:rPr>
                <w:rFonts w:ascii="仿宋_GB2312" w:hAnsi="仿宋_GB2312" w:cs="仿宋_GB2312" w:eastAsia="仿宋_GB2312"/>
                <w:sz w:val="24"/>
                <w:b/>
              </w:rPr>
              <w:t>（八）实施要求</w:t>
            </w:r>
          </w:p>
          <w:p>
            <w:pPr>
              <w:pStyle w:val="null3"/>
              <w:ind w:firstLine="480"/>
            </w:pPr>
            <w:r>
              <w:rPr>
                <w:rFonts w:ascii="仿宋_GB2312" w:hAnsi="仿宋_GB2312" w:cs="仿宋_GB2312" w:eastAsia="仿宋_GB2312"/>
                <w:sz w:val="24"/>
              </w:rPr>
              <w:t>供应商须制定完善、具体的实施计划、实施方案，以及本项目的项目管理方案等。</w:t>
            </w:r>
          </w:p>
          <w:p>
            <w:pPr>
              <w:pStyle w:val="null3"/>
              <w:spacing w:before="240" w:after="240"/>
              <w:ind w:firstLine="482"/>
              <w:jc w:val="left"/>
            </w:pPr>
            <w:r>
              <w:rPr>
                <w:rFonts w:ascii="仿宋_GB2312" w:hAnsi="仿宋_GB2312" w:cs="仿宋_GB2312" w:eastAsia="仿宋_GB2312"/>
                <w:sz w:val="24"/>
                <w:b/>
              </w:rPr>
              <w:t>（九）培训要求</w:t>
            </w:r>
          </w:p>
          <w:p>
            <w:pPr>
              <w:pStyle w:val="null3"/>
              <w:ind w:firstLine="480"/>
            </w:pPr>
            <w:r>
              <w:rPr>
                <w:rFonts w:ascii="仿宋_GB2312" w:hAnsi="仿宋_GB2312" w:cs="仿宋_GB2312" w:eastAsia="仿宋_GB2312"/>
                <w:sz w:val="24"/>
              </w:rPr>
              <w:t>供应商必须对本项目提供全面的系统培训，包括详细的培训目标、培训计划、培训组织方式、培训师资力量、培训课程、培训质量保证措施等。</w:t>
            </w:r>
          </w:p>
          <w:p>
            <w:pPr>
              <w:pStyle w:val="null3"/>
              <w:spacing w:before="240" w:after="240"/>
              <w:ind w:firstLine="482"/>
              <w:jc w:val="left"/>
            </w:pPr>
            <w:r>
              <w:rPr>
                <w:rFonts w:ascii="仿宋_GB2312" w:hAnsi="仿宋_GB2312" w:cs="仿宋_GB2312" w:eastAsia="仿宋_GB2312"/>
                <w:sz w:val="24"/>
                <w:b/>
              </w:rPr>
              <w:t>（十）日常服务要求</w:t>
            </w:r>
          </w:p>
          <w:p>
            <w:pPr>
              <w:pStyle w:val="null3"/>
              <w:ind w:firstLine="480"/>
              <w:jc w:val="both"/>
            </w:pPr>
            <w:r>
              <w:rPr>
                <w:rFonts w:ascii="仿宋_GB2312" w:hAnsi="仿宋_GB2312" w:cs="仿宋_GB2312" w:eastAsia="仿宋_GB2312"/>
                <w:sz w:val="24"/>
              </w:rPr>
              <w:t>日常服务响应时间：提供</w:t>
            </w:r>
            <w:r>
              <w:rPr>
                <w:rFonts w:ascii="仿宋_GB2312" w:hAnsi="仿宋_GB2312" w:cs="仿宋_GB2312" w:eastAsia="仿宋_GB2312"/>
                <w:sz w:val="24"/>
              </w:rPr>
              <w:t>5*8小时技术支持响应服务；当出现故障时，保证2小时内响应，根据招标人要求及时进行现场处理，直到完成故障修复。</w:t>
            </w:r>
          </w:p>
          <w:p>
            <w:pPr>
              <w:pStyle w:val="null3"/>
              <w:ind w:firstLine="480"/>
              <w:jc w:val="both"/>
            </w:pPr>
            <w:r>
              <w:rPr>
                <w:rFonts w:ascii="仿宋_GB2312" w:hAnsi="仿宋_GB2312" w:cs="仿宋_GB2312" w:eastAsia="仿宋_GB2312"/>
                <w:sz w:val="24"/>
              </w:rPr>
              <w:t>日常服务方式：供应商应提供现场技术支持服务，电话支持服务，电子邮件服务，网络即时通讯平台服务等。</w:t>
            </w:r>
          </w:p>
          <w:p>
            <w:pPr>
              <w:pStyle w:val="null3"/>
              <w:spacing w:before="240" w:after="240"/>
              <w:ind w:firstLine="482"/>
              <w:jc w:val="left"/>
            </w:pPr>
            <w:r>
              <w:rPr>
                <w:rFonts w:ascii="仿宋_GB2312" w:hAnsi="仿宋_GB2312" w:cs="仿宋_GB2312" w:eastAsia="仿宋_GB2312"/>
                <w:sz w:val="24"/>
                <w:b/>
              </w:rPr>
              <w:t>（</w:t>
            </w:r>
            <w:r>
              <w:rPr>
                <w:rFonts w:ascii="仿宋_GB2312" w:hAnsi="仿宋_GB2312" w:cs="仿宋_GB2312" w:eastAsia="仿宋_GB2312"/>
                <w:sz w:val="24"/>
                <w:b/>
              </w:rPr>
              <w:t>十一</w:t>
            </w:r>
            <w:r>
              <w:rPr>
                <w:rFonts w:ascii="仿宋_GB2312" w:hAnsi="仿宋_GB2312" w:cs="仿宋_GB2312" w:eastAsia="仿宋_GB2312"/>
                <w:sz w:val="24"/>
                <w:b/>
              </w:rPr>
              <w:t>）</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11.1</w:t>
            </w:r>
            <w:r>
              <w:rPr>
                <w:rFonts w:ascii="仿宋_GB2312" w:hAnsi="仿宋_GB2312" w:cs="仿宋_GB2312" w:eastAsia="仿宋_GB2312"/>
                <w:sz w:val="24"/>
              </w:rPr>
              <w:t>.风险管理要求</w:t>
            </w:r>
          </w:p>
          <w:p>
            <w:pPr>
              <w:pStyle w:val="null3"/>
              <w:ind w:firstLine="480"/>
              <w:jc w:val="both"/>
            </w:pPr>
            <w:r>
              <w:rPr>
                <w:rFonts w:ascii="仿宋_GB2312" w:hAnsi="仿宋_GB2312" w:cs="仿宋_GB2312" w:eastAsia="仿宋_GB2312"/>
                <w:sz w:val="24"/>
              </w:rPr>
              <w:t>供应商应针对各阶段工作内容和要求，详细分析可能出现的各类风险，制订完善的风险管理策略，以有效控制风险发生、及时准确分析识别风险及合理应对处置。</w:t>
            </w:r>
          </w:p>
          <w:p>
            <w:pPr>
              <w:pStyle w:val="null3"/>
              <w:ind w:firstLine="480"/>
              <w:jc w:val="both"/>
            </w:pPr>
            <w:r>
              <w:rPr>
                <w:rFonts w:ascii="仿宋_GB2312" w:hAnsi="仿宋_GB2312" w:cs="仿宋_GB2312" w:eastAsia="仿宋_GB2312"/>
                <w:sz w:val="24"/>
              </w:rPr>
              <w:t>11.2</w:t>
            </w:r>
            <w:r>
              <w:rPr>
                <w:rFonts w:ascii="仿宋_GB2312" w:hAnsi="仿宋_GB2312" w:cs="仿宋_GB2312" w:eastAsia="仿宋_GB2312"/>
                <w:sz w:val="24"/>
              </w:rPr>
              <w:t>.安全保密要求</w:t>
            </w:r>
          </w:p>
          <w:p>
            <w:pPr>
              <w:pStyle w:val="null3"/>
              <w:ind w:firstLine="480"/>
              <w:jc w:val="both"/>
            </w:pPr>
            <w:r>
              <w:rPr>
                <w:rFonts w:ascii="仿宋_GB2312" w:hAnsi="仿宋_GB2312" w:cs="仿宋_GB2312" w:eastAsia="仿宋_GB2312"/>
                <w:sz w:val="24"/>
              </w:rPr>
              <w:t>本项目需参照国家信息安全三级等级保护要求，构建系统的网络安全保障体系，包括系统安全、信息安全、管理安全、秘钥安全、数据安全等。</w:t>
            </w:r>
          </w:p>
          <w:p>
            <w:pPr>
              <w:pStyle w:val="null3"/>
              <w:jc w:val="both"/>
            </w:pPr>
            <w:r>
              <w:rPr>
                <w:rFonts w:ascii="仿宋_GB2312" w:hAnsi="仿宋_GB2312" w:cs="仿宋_GB2312" w:eastAsia="仿宋_GB2312"/>
                <w:sz w:val="24"/>
              </w:rPr>
              <w:t xml:space="preserve">     11.3</w:t>
            </w:r>
            <w:r>
              <w:rPr>
                <w:rFonts w:ascii="仿宋_GB2312" w:hAnsi="仿宋_GB2312" w:cs="仿宋_GB2312" w:eastAsia="仿宋_GB2312"/>
                <w:sz w:val="24"/>
              </w:rPr>
              <w:t>运维服务在服务期限内，遵守采购人的安全保密规定，保护采购人的系统、数据、信息的安全，保守采购人的系统、数据、信息的秘密。保密期限为自本项目合同生效之日起，至该合同约定的信息全部成为公开信息为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满足本项目第三章服务要求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满足本项目第三章服务要求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系统对接期限：自合同签订之日起20日历日内完成对接。</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运维服务期：自项目对接验收完成后起3年。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在合同签订后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对接服务验收后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关于检验系统与陕西省非税暨票据管理一体化平台数据对接项目”对应的中小企业划分标准所属行业为：软件和信息技术服务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提供2025年4月至今已缴纳任意一个月纳税证明或税务机关开具的完税证明（时间以税款所属日期为准，凭据应有税务机关或代收机关的公章或业务专用章。）依法免税或无须缴纳税收的单位应提供相应证明文件；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提供2025年4月至今已缴存任意一个月社会保障资金缴存单据或社保机构开具的社会保险参保缴费证明，依法不需要缴纳社会保障资金的单位应提供相应证明文件；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 负责人可参照执行）</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评审内容：供应商针对本项目提供项目分析方案，包括但不限于①业务内容、工作目标和任务的理解②项目重、难点及应对措施。 评审标准：以上内容切合本项目实际情况及实施要求，内容与要点相符、每个要点均有展开详细的阐述且能够适用于本项目的计6分。评审内容每项有缺项扣3分，扣完为止；存在缺陷，每任意一个缺陷扣1分，扣完为止。（缺陷是指：内容粗略、逻辑混乱、描述过于简单、与项目特点不匹配、凭空编造、逻辑漏洞、出现常识性错误、套用其他项目方案、存在不可能实现的夸大情形或存在不适用项目实际情况的情形等。）未提供或只有标题没有实质性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功能描述</w:t>
            </w:r>
          </w:p>
        </w:tc>
        <w:tc>
          <w:tcPr>
            <w:tcW w:type="dxa" w:w="2492"/>
          </w:tcPr>
          <w:p>
            <w:pPr>
              <w:pStyle w:val="null3"/>
            </w:pPr>
            <w:r>
              <w:rPr>
                <w:rFonts w:ascii="仿宋_GB2312" w:hAnsi="仿宋_GB2312" w:cs="仿宋_GB2312" w:eastAsia="仿宋_GB2312"/>
              </w:rPr>
              <w:t>评审内容：供应商按照功能需求要求，提供详细的功能需求描述，包括①缴费服务②对账服务③退付服务④清分服务⑤电子票据服务。 评审标准：功能详细描述合理且清晰，完全符合每个功能需求且与业务流程完全匹配的，每个功能得2分，共计10分。每出现一个功能点描述完全不符合正常业务逻辑的扣1.5分，扣完为止。每一个功能点描述不符合非税电子化业务逻辑的扣1分，扣完为止。 未提供或只有标题没有实质性内容的不得分。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建设内容及业务说明</w:t>
            </w:r>
          </w:p>
        </w:tc>
        <w:tc>
          <w:tcPr>
            <w:tcW w:type="dxa" w:w="2492"/>
          </w:tcPr>
          <w:p>
            <w:pPr>
              <w:pStyle w:val="null3"/>
            </w:pPr>
            <w:r>
              <w:rPr>
                <w:rFonts w:ascii="仿宋_GB2312" w:hAnsi="仿宋_GB2312" w:cs="仿宋_GB2312" w:eastAsia="仿宋_GB2312"/>
              </w:rPr>
              <w:t>评审内容：供应商提供建设内容、总体业务图、总体业务场景图并详细说明。 评审标准：建设内容介绍清晰、合理、符合建设需求，总体业务图、总体业务场景图逻辑清晰，与建设需求完全匹配且与建设内容对应的得8分。建设内容与总体业务图、总体业务场景图基本对应，部分内容不符合建设需求的得5分。总体建设方案与总体架构图基本匹配，但描述简单，且不符合非税电子化业务逻辑的得3分。总体建设方案与总体架构图不匹配，描述空泛得1分。 未提供或只有标题没有实质性内容的不得分。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接口对接</w:t>
            </w:r>
          </w:p>
        </w:tc>
        <w:tc>
          <w:tcPr>
            <w:tcW w:type="dxa" w:w="2492"/>
          </w:tcPr>
          <w:p>
            <w:pPr>
              <w:pStyle w:val="null3"/>
            </w:pPr>
            <w:r>
              <w:rPr>
                <w:rFonts w:ascii="仿宋_GB2312" w:hAnsi="仿宋_GB2312" w:cs="仿宋_GB2312" w:eastAsia="仿宋_GB2312"/>
              </w:rPr>
              <w:t>评审内容：供应商按照接口对接需求要求，提供与业务系统对接、与互联网支付渠道对接、与财政非税票据一体化系统对接详细的接口方案。 评审标准：与财政非税票据一体化系统方案需严格遵循财库[2017]7号规范要求，与业务系统对接、与互联网支付渠道对接需严格满足接口对接业务需求的得8分。接口方案内容与业务需求基本匹配，但描述不够清晰的得5分。每项接口方案内容与接口对接需求基本一致，无详细描述的得3分。接口方案空泛，匹配度低得1分。 未提供或只有标题没有实质性内容的不得分。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应急响应</w:t>
            </w:r>
          </w:p>
        </w:tc>
        <w:tc>
          <w:tcPr>
            <w:tcW w:type="dxa" w:w="2492"/>
          </w:tcPr>
          <w:p>
            <w:pPr>
              <w:pStyle w:val="null3"/>
            </w:pPr>
            <w:r>
              <w:rPr>
                <w:rFonts w:ascii="仿宋_GB2312" w:hAnsi="仿宋_GB2312" w:cs="仿宋_GB2312" w:eastAsia="仿宋_GB2312"/>
              </w:rPr>
              <w:t>评审内容：供应商提供应急响应方案，包括但不限于①应急处理工作流程、应用系统恢复策略、事后处理工作②应急保障等。 评审标准：以上内容切合本项目实际情况及实施要求，内容与要点相符、每个要点均有展开详细阐述的计8分。评审内容每项有缺项扣4分，扣完为止；存在缺陷，每任意一个缺陷扣1分，扣完为止。（缺陷是指：内容粗略、逻辑混乱、描述过于简单、与项目特点不匹配、凭空编造、逻辑漏洞、出现常识性错误、套用其他项目方案、存在不可能实现的夸大情形或存在不适用项目实际情况的情形等。）未提供或只有标题没有实质性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进度安排及质量保证方案</w:t>
            </w:r>
          </w:p>
        </w:tc>
        <w:tc>
          <w:tcPr>
            <w:tcW w:type="dxa" w:w="2492"/>
          </w:tcPr>
          <w:p>
            <w:pPr>
              <w:pStyle w:val="null3"/>
            </w:pPr>
            <w:r>
              <w:rPr>
                <w:rFonts w:ascii="仿宋_GB2312" w:hAnsi="仿宋_GB2312" w:cs="仿宋_GB2312" w:eastAsia="仿宋_GB2312"/>
              </w:rPr>
              <w:t>评审内容：供应商提供①进度安排保障②质量保证措施。 评审标准：以上内容切合本项目实际情况及实施要求，内容与要点相符、每个要点均有展开详细阐述且能确保系统如期成功上线运行的计8分。评审内容每项有缺项扣4分，扣完为止；存在缺陷，每任意一个缺陷扣1分，扣完为止。（缺陷是指：内容粗略、逻辑混乱、描述过于简单、与项目特点不匹配、凭空编造、逻辑漏洞、出现常识性错误、套用其他项目方案、存在不可能实现的夸大情形或存在不适用项目实际情况的情形等。）未提供或只有标题没有实质性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评审内容：供应商提供培训方案，包括但不限于①培训目标、培训计划、培训组织方式②培训师资力量、培训质量保证措施等。 评审标准：以上内容切合本项目实际情况及实施要求，内容与要点相符、每个要点均有展开详细阐述的计6分。评审内容每项有缺项扣3分，扣完为止；存在缺陷，每任意一个缺陷扣1分，扣完为止。（缺陷是指：内容粗略、逻辑混乱、描述过于简单、与项目特点不匹配、凭空编造、逻辑漏洞、出现常识性错误、套用其他项目方案、存在不可能实现的夸大情形或存在不适用项目实际情况的情形等。）未提供或只有标题没有实质性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评审内容：供应商制定完善的售后服务方案，包括但不限于①售后服务体系、售后服务方式②售后服务团队③响应时间、人员到位情况的服务承诺。 评审标准：以上内容切合本项目实际情况及实施要求，内容与要点相符、每个要点均有展开详细阐述的计9分。评审内容每项有缺项扣3分，扣完为止；存在缺陷，每任意一个缺陷扣1分，扣完为止。（缺陷是指：内容粗略、逻辑混乱、描述过于简单、与项目特点不匹配、凭空编造、逻辑漏洞、出现常识性错误、套用其他项目方案、存在不可能实现的夸大情形或存在不适用项目实际情况的情形等。）未提供或只有标题没有实质性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本项目服务团队具有信息系统项目管理师高级证书的得2分；具有PMP项目经理证书的得1分；具有ITSS服务项目经理证书的得1分；本项满分4分。 备注：提供证明材料复印件加盖供应商公章。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评审内容：供应商针对本项目的服务团队，包括但不限于①人员配置清单及组织架构②人员岗位职责及分工。 评审标准：以上内容切合本项目实际情况及实施要求，内容与要点相符、每个要点均有展开详细阐述的计10分。评审内容每项有缺项扣5分，扣完为止；存在缺陷，每任意一个缺陷扣1分，扣完为止。（缺陷是指：内容粗略、逻辑混乱、职责分工不明确、组织架构不合理、与项目特点不匹配、逻辑漏洞、出现常识性错误等。）未提供或只有标题没有实质性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体系认证证书</w:t>
            </w:r>
          </w:p>
        </w:tc>
        <w:tc>
          <w:tcPr>
            <w:tcW w:type="dxa" w:w="2492"/>
          </w:tcPr>
          <w:p>
            <w:pPr>
              <w:pStyle w:val="null3"/>
            </w:pPr>
            <w:r>
              <w:rPr>
                <w:rFonts w:ascii="仿宋_GB2312" w:hAnsi="仿宋_GB2312" w:cs="仿宋_GB2312" w:eastAsia="仿宋_GB2312"/>
              </w:rPr>
              <w:t>1.投标人具有有效的ISO9001质量管理体系认证证书计2分； 2.投标人具有有效的ISO20000信息技术服务管理体系认证证书计3分。 备注：提供证明材料复印件加盖供应商公章。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供应商提供自2022年1月1日至今类似项目业绩（业绩以合同签订时间为准），响应文件中附有其业绩证明材料，业绩以合同或中标通知书为依据，每提供一个计2分，满分8分。 （注：响应文件中提供复印件加盖供应商公章）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 报价明细表.docx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