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版本号：DXZB-2025-119320251103003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2025年商用密码应用安全态势感知在线监管系统建设项目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DXZB-2025-1193</w:t>
      </w:r>
      <w:r>
        <w:br/>
      </w:r>
      <w:r>
        <w:br/>
      </w:r>
      <w:r>
        <w:br/>
      </w:r>
    </w:p>
    <w:p>
      <w:pPr>
        <w:pStyle w:val="null3"/>
        <w:jc w:val="center"/>
        <w:outlineLvl w:val="2"/>
      </w:pPr>
      <w:r>
        <w:rPr>
          <w:rFonts w:ascii="仿宋_GB2312" w:hAnsi="仿宋_GB2312" w:cs="仿宋_GB2312" w:eastAsia="仿宋_GB2312"/>
          <w:sz w:val="28"/>
          <w:b/>
        </w:rPr>
        <w:t>中共西安市委办公厅（本级）</w:t>
      </w:r>
    </w:p>
    <w:p>
      <w:pPr>
        <w:pStyle w:val="null3"/>
        <w:jc w:val="center"/>
        <w:outlineLvl w:val="2"/>
      </w:pPr>
      <w:r>
        <w:rPr>
          <w:rFonts w:ascii="仿宋_GB2312" w:hAnsi="仿宋_GB2312" w:cs="仿宋_GB2312" w:eastAsia="仿宋_GB2312"/>
          <w:sz w:val="28"/>
          <w:b/>
        </w:rPr>
        <w:t>陕西德信招标有限公司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陕西德信招标有限公司</w:t>
      </w:r>
      <w:r>
        <w:rPr>
          <w:rFonts w:ascii="仿宋_GB2312" w:hAnsi="仿宋_GB2312" w:cs="仿宋_GB2312" w:eastAsia="仿宋_GB2312"/>
        </w:rPr>
        <w:t>（以下简称“代理机构”）受</w:t>
      </w:r>
      <w:r>
        <w:rPr>
          <w:rFonts w:ascii="仿宋_GB2312" w:hAnsi="仿宋_GB2312" w:cs="仿宋_GB2312" w:eastAsia="仿宋_GB2312"/>
        </w:rPr>
        <w:t>中共西安市委办公厅（本级）</w:t>
      </w:r>
      <w:r>
        <w:rPr>
          <w:rFonts w:ascii="仿宋_GB2312" w:hAnsi="仿宋_GB2312" w:cs="仿宋_GB2312" w:eastAsia="仿宋_GB2312"/>
        </w:rPr>
        <w:t>委托，拟对</w:t>
      </w:r>
      <w:r>
        <w:rPr>
          <w:rFonts w:ascii="仿宋_GB2312" w:hAnsi="仿宋_GB2312" w:cs="仿宋_GB2312" w:eastAsia="仿宋_GB2312"/>
        </w:rPr>
        <w:t>2025年商用密码应用安全态势感知在线监管系统建设项目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DXZB-2025-1193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2025年商用密码应用安全态势感知在线监管系统建设项目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旨在建设商用密码应用安全态势感知在线监管系统，实现对全市密码资源的全面采集、集中监管与协同管理，与密码服务平台数据双向互通，服务相互赋能。系统包含密码应用资产管理、实时监测分析、风险识别预警和安全态势评估等核心功能，并运用人工智能技术，实现智能密码安全运营值守、恶意加密攻击分析与安全事件研判，构建覆盖全市政务信息系统的密码应用监管体系。</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1、主体资格证明文件：具有独立承担民事责任能力的法人或非法人组织或自然人，提供合法有效的统一社会信用代码的营业执照等证明文件；</w:t>
      </w:r>
    </w:p>
    <w:p>
      <w:pPr>
        <w:pStyle w:val="null3"/>
      </w:pPr>
      <w:r>
        <w:rPr>
          <w:rFonts w:ascii="仿宋_GB2312" w:hAnsi="仿宋_GB2312" w:cs="仿宋_GB2312" w:eastAsia="仿宋_GB2312"/>
        </w:rPr>
        <w:t>2、财务状况：提供经会计师事务所审计的2024年财务审计报告（且出具的审计报告应当经过注册会计师行业统一监管平台备案赋码）或银行出具的资信证明。（成立时间至提交响应文件截止时间不足三个月的可不提供）；</w:t>
      </w:r>
    </w:p>
    <w:p>
      <w:pPr>
        <w:pStyle w:val="null3"/>
      </w:pPr>
      <w:r>
        <w:rPr>
          <w:rFonts w:ascii="仿宋_GB2312" w:hAnsi="仿宋_GB2312" w:cs="仿宋_GB2312" w:eastAsia="仿宋_GB2312"/>
        </w:rPr>
        <w:t>3、社会保障资金缴纳证明：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p>
      <w:pPr>
        <w:pStyle w:val="null3"/>
      </w:pPr>
      <w:r>
        <w:rPr>
          <w:rFonts w:ascii="仿宋_GB2312" w:hAnsi="仿宋_GB2312" w:cs="仿宋_GB2312" w:eastAsia="仿宋_GB2312"/>
        </w:rPr>
        <w:t>4、税收缴纳证明：提供投标截止日前半年内任意一个月的纳税证明或完税证明，单据应有代收机构或税务机关的公章或业务专用章，依法免税的单位应提供相关证明材料。（成立时间至提交响应文件截止时间不足三个月的可不提供）；</w:t>
      </w:r>
    </w:p>
    <w:p>
      <w:pPr>
        <w:pStyle w:val="null3"/>
      </w:pPr>
      <w:r>
        <w:rPr>
          <w:rFonts w:ascii="仿宋_GB2312" w:hAnsi="仿宋_GB2312" w:cs="仿宋_GB2312" w:eastAsia="仿宋_GB2312"/>
        </w:rPr>
        <w:t>5、法定代表人授权书：提供法定代表人授权委托书及被授权人身份证（供应商为法定代表人时，须提交法定代表人证明书）；</w:t>
      </w:r>
    </w:p>
    <w:p>
      <w:pPr>
        <w:pStyle w:val="null3"/>
      </w:pPr>
      <w:r>
        <w:rPr>
          <w:rFonts w:ascii="仿宋_GB2312" w:hAnsi="仿宋_GB2312" w:cs="仿宋_GB2312" w:eastAsia="仿宋_GB2312"/>
        </w:rPr>
        <w:t>6、三年无重大违法声明：参加政府采购活动前三年内，在经营活动中没有重大违法记录，提供无重大违法记录声明函；</w:t>
      </w:r>
    </w:p>
    <w:p>
      <w:pPr>
        <w:pStyle w:val="null3"/>
      </w:pPr>
      <w:r>
        <w:rPr>
          <w:rFonts w:ascii="仿宋_GB2312" w:hAnsi="仿宋_GB2312" w:cs="仿宋_GB2312" w:eastAsia="仿宋_GB2312"/>
        </w:rPr>
        <w:t>7、书面声明：具有履行合同必需的设备和专业技术能力书面声明，提供声明函并加盖单位公章；</w:t>
      </w:r>
    </w:p>
    <w:p>
      <w:pPr>
        <w:pStyle w:val="null3"/>
      </w:pPr>
      <w:r>
        <w:rPr>
          <w:rFonts w:ascii="仿宋_GB2312" w:hAnsi="仿宋_GB2312" w:cs="仿宋_GB2312" w:eastAsia="仿宋_GB2312"/>
        </w:rPr>
        <w:t>8、信用查询截图：被中国执行信息公开网(http://zxgk.court.gov.cn/shixin/)列入失信被执行人的供应商、或被信用中国网站(www.creditchina.govcn)列入重大税收违法失信主体和政府采购严重违法失信名单的供应商、或被中国政府采购网(www.ccgp.gov .cn)列入政府采购严重违法失信行为记录名单中被财政部门禁止参加政府采购活动的供应商 (处罚决定规定的时间和地域范围内)，无资格参加本项目的采购活动，提供查询结果网页截图加盖公章；</w:t>
      </w:r>
    </w:p>
    <w:p>
      <w:pPr>
        <w:pStyle w:val="null3"/>
      </w:pPr>
      <w:r>
        <w:rPr>
          <w:rFonts w:ascii="仿宋_GB2312" w:hAnsi="仿宋_GB2312" w:cs="仿宋_GB2312" w:eastAsia="仿宋_GB2312"/>
        </w:rPr>
        <w:t>9、非联合体投标声明函：本项目不接受联合体投标，提供非联合体投标声明函。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中共西安市委办公厅（本级）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029-67090253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陕西省西安市雁塔区南二环东段凯森盛世一号B座四层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李敏、周菊、王清玺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029-82694900转9021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采购包1：2,403,158.00元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代理服务费收费标准：本项目中标服务费人民币壹万玖仟伍佰元整（¥19500.00元），由中标（成交）供应商向陕西德信招标有限公司支付；中标服务费账户： 开户名称：陕西德信招标有限公司 开户银行：西安银行东二环南段支行 账 号：209011580000073440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中共西安市委办公厅（本级）</w:t>
      </w:r>
      <w:r>
        <w:rPr>
          <w:rFonts w:ascii="仿宋_GB2312" w:hAnsi="仿宋_GB2312" w:cs="仿宋_GB2312" w:eastAsia="仿宋_GB2312"/>
        </w:rPr>
        <w:t>和</w:t>
      </w:r>
      <w:r>
        <w:rPr>
          <w:rFonts w:ascii="仿宋_GB2312" w:hAnsi="仿宋_GB2312" w:cs="仿宋_GB2312" w:eastAsia="仿宋_GB2312"/>
        </w:rPr>
        <w:t>陕西德信招标有限公司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中共西安市委办公厅（本级）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中共西安市委办公厅（本级）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符合招标文件要求，国家及行业标准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联系人：李敏</w:t>
      </w:r>
    </w:p>
    <w:p>
      <w:pPr>
        <w:pStyle w:val="null3"/>
      </w:pPr>
      <w:r>
        <w:rPr>
          <w:rFonts w:ascii="仿宋_GB2312" w:hAnsi="仿宋_GB2312" w:cs="仿宋_GB2312" w:eastAsia="仿宋_GB2312"/>
        </w:rPr>
        <w:t>联系电话：029-82694900</w:t>
      </w:r>
    </w:p>
    <w:p>
      <w:pPr>
        <w:pStyle w:val="null3"/>
      </w:pPr>
      <w:r>
        <w:rPr>
          <w:rFonts w:ascii="仿宋_GB2312" w:hAnsi="仿宋_GB2312" w:cs="仿宋_GB2312" w:eastAsia="仿宋_GB2312"/>
        </w:rPr>
        <w:t>地址：陕西省西安市雁塔区南二环东段凯森盛世一号B座四层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旨在建设商用密码应用安全态势感知在线监管系统，实现对全市密码资源的全面采集、集中监管与协同管理，与密码服务平台数据双向互通，服务相互赋能。系统包含密码应用资产管理、实时监测分析、风险识别预警和安全态势评估等核心功能，并运用人工智能技术，实现智能密码安全运营值守、恶意加密攻击分析与安全事件研判，构建覆盖全市政务信息系统的密码应用监管体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2,403,158.00</w:t>
      </w:r>
    </w:p>
    <w:p>
      <w:pPr>
        <w:pStyle w:val="null3"/>
      </w:pPr>
      <w:r>
        <w:rPr>
          <w:rFonts w:ascii="仿宋_GB2312" w:hAnsi="仿宋_GB2312" w:cs="仿宋_GB2312" w:eastAsia="仿宋_GB2312"/>
        </w:rPr>
        <w:t>采购包最高限价（元）: 2,403,158.00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2025年商用密码应用安全态势感知在线监管系统建设项目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2,403,158.00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标的名称：2025年商用密码应用安全态势感知在线监管系统建设项目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24"/>
                <w:b/>
              </w:rPr>
              <w:t>一、项目概况</w:t>
            </w:r>
          </w:p>
          <w:p>
            <w:pPr>
              <w:pStyle w:val="null3"/>
              <w:ind w:firstLine="640"/>
              <w:jc w:val="both"/>
            </w:pPr>
            <w:r>
              <w:rPr>
                <w:rFonts w:ascii="仿宋_GB2312" w:hAnsi="仿宋_GB2312" w:cs="仿宋_GB2312" w:eastAsia="仿宋_GB2312"/>
                <w:sz w:val="24"/>
              </w:rPr>
              <w:t>本项目旨在建设商用密码应用安全态势感知在线监管系统，实现对全市密码资源的全面采集、集中监管与协同管理，与密码服务平台数据双向互通，服务相互赋能。系统包含密码应用资产管理、实时监测分析、风险识别预警和安全态势评估等核心功能，并运用人工智能技术，实现智能密码安全运营值守、恶意加密攻击分析与安全事件研判，构建覆盖全市政务信息系统的密码应用监管体系。</w:t>
            </w:r>
          </w:p>
          <w:p>
            <w:pPr>
              <w:pStyle w:val="null3"/>
              <w:ind w:firstLine="643"/>
              <w:jc w:val="both"/>
            </w:pPr>
            <w:r>
              <w:rPr>
                <w:rFonts w:ascii="仿宋_GB2312" w:hAnsi="仿宋_GB2312" w:cs="仿宋_GB2312" w:eastAsia="仿宋_GB2312"/>
                <w:sz w:val="24"/>
                <w:b/>
              </w:rPr>
              <w:t>二、</w:t>
            </w:r>
            <w:r>
              <w:rPr>
                <w:rFonts w:ascii="仿宋_GB2312" w:hAnsi="仿宋_GB2312" w:cs="仿宋_GB2312" w:eastAsia="仿宋_GB2312"/>
                <w:sz w:val="24"/>
                <w:b/>
              </w:rPr>
              <w:t>采购内容及要求</w:t>
            </w:r>
          </w:p>
          <w:p>
            <w:pPr>
              <w:pStyle w:val="null3"/>
              <w:ind w:firstLine="640"/>
              <w:jc w:val="both"/>
            </w:pPr>
            <w:r>
              <w:rPr>
                <w:rFonts w:ascii="仿宋_GB2312" w:hAnsi="仿宋_GB2312" w:cs="仿宋_GB2312" w:eastAsia="仿宋_GB2312"/>
                <w:sz w:val="24"/>
              </w:rPr>
              <w:t>1.商用密码应用安全</w:t>
            </w:r>
            <w:r>
              <w:rPr>
                <w:rFonts w:ascii="仿宋_GB2312" w:hAnsi="仿宋_GB2312" w:cs="仿宋_GB2312" w:eastAsia="仿宋_GB2312"/>
                <w:sz w:val="24"/>
              </w:rPr>
              <w:t>态势感知</w:t>
            </w:r>
            <w:r>
              <w:rPr>
                <w:rFonts w:ascii="仿宋_GB2312" w:hAnsi="仿宋_GB2312" w:cs="仿宋_GB2312" w:eastAsia="仿宋_GB2312"/>
                <w:sz w:val="24"/>
              </w:rPr>
              <w:t>在线监管系统</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建设商用密码应用安全态势感知在线监管系统，旨在构建一个覆盖全市、集约高效、智能联动的密码安全监管体系。该系统通过全面接入各类政务信息系统与关键密码设备，实现对多源异构密码资源的全面汇聚与统一监管，实时动态掌握密码应用状态与安全运行情况，并依托协同管理机制提升密码资源整体管控效率。</w:t>
            </w:r>
          </w:p>
          <w:p>
            <w:pPr>
              <w:pStyle w:val="null3"/>
              <w:ind w:firstLine="640"/>
              <w:jc w:val="both"/>
            </w:pPr>
            <w:r>
              <w:rPr>
                <w:rFonts w:ascii="仿宋_GB2312" w:hAnsi="仿宋_GB2312" w:cs="仿宋_GB2312" w:eastAsia="仿宋_GB2312"/>
                <w:sz w:val="24"/>
              </w:rPr>
              <w:t>1）密码设备管理：可对密码设备名称、对应IP地址、端口号等关键数据进行系统化管控。在设备信息初始录入环节，可通过系统表单逐项填写单台设备的名称、IP、端口号等信息并提交保存；</w:t>
            </w:r>
          </w:p>
          <w:p>
            <w:pPr>
              <w:pStyle w:val="null3"/>
              <w:ind w:firstLine="640"/>
              <w:jc w:val="both"/>
            </w:pPr>
            <w:r>
              <w:rPr>
                <w:rFonts w:ascii="仿宋_GB2312" w:hAnsi="仿宋_GB2312" w:cs="仿宋_GB2312" w:eastAsia="仿宋_GB2312"/>
                <w:sz w:val="24"/>
              </w:rPr>
              <w:t>▲2）网络通信监测：可对接收的流量数据通信协议进行识别与解析，并开展持续监测，能覆盖SSH、HTTPS、SSL、TLS、TLCP、PPTP、IPSec等多种常见协议以及SM1、SM2、SM3、SM4、SM9、RSA、ECC、DES、MD5等密码算法，确保实时掌握不同协议下的流量通信状态。</w:t>
            </w:r>
          </w:p>
          <w:p>
            <w:pPr>
              <w:pStyle w:val="null3"/>
              <w:ind w:firstLine="640"/>
              <w:jc w:val="both"/>
            </w:pPr>
            <w:r>
              <w:rPr>
                <w:rFonts w:ascii="仿宋_GB2312" w:hAnsi="仿宋_GB2312" w:cs="仿宋_GB2312" w:eastAsia="仿宋_GB2312"/>
                <w:sz w:val="24"/>
              </w:rPr>
              <w:t>▲3）数字证书监测：对信息系统数字证书的全周期监测与分析，可实时追踪信息系统使用数字证书的动态情况，同时深入解析数字证书的各类核心细节，涵盖证书版本号、证书序列号、用于加密或验证的公钥、保障证书完整性的签名算法等关键信息。</w:t>
            </w:r>
          </w:p>
          <w:p>
            <w:pPr>
              <w:pStyle w:val="null3"/>
              <w:ind w:firstLine="640"/>
              <w:jc w:val="both"/>
            </w:pPr>
            <w:r>
              <w:rPr>
                <w:rFonts w:ascii="仿宋_GB2312" w:hAnsi="仿宋_GB2312" w:cs="仿宋_GB2312" w:eastAsia="仿宋_GB2312"/>
                <w:sz w:val="24"/>
              </w:rPr>
              <w:t>▲4）密码应用脆弱口令扫描：针对SSL、TLS、TLCP等网络密码应用开展主动脆弱性扫描，通过弱算法扫描识别应用中使用的低安全性加密算法（如过时的RC4、SHA-1等）。</w:t>
            </w:r>
          </w:p>
          <w:p>
            <w:pPr>
              <w:pStyle w:val="null3"/>
              <w:ind w:firstLine="640"/>
              <w:jc w:val="both"/>
            </w:pPr>
            <w:r>
              <w:rPr>
                <w:rFonts w:ascii="仿宋_GB2312" w:hAnsi="仿宋_GB2312" w:cs="仿宋_GB2312" w:eastAsia="仿宋_GB2312"/>
                <w:sz w:val="24"/>
              </w:rPr>
              <w:t>5）异常信息分析：基于密码应用的实时监测数据（如网络通信协议合规性、密文随机性、口令强度、证书状态等），通过预设的安全规则与算法自动化判断当前密码应用存在的安全风险（如弱算法使用、密文随机性不达标、证书过期等）。</w:t>
            </w:r>
          </w:p>
          <w:p>
            <w:pPr>
              <w:pStyle w:val="null3"/>
              <w:ind w:firstLine="640"/>
              <w:jc w:val="both"/>
            </w:pPr>
            <w:r>
              <w:rPr>
                <w:rFonts w:ascii="仿宋_GB2312" w:hAnsi="仿宋_GB2312" w:cs="仿宋_GB2312" w:eastAsia="仿宋_GB2312"/>
                <w:sz w:val="24"/>
              </w:rPr>
              <w:t>6）密码应用态势分析展示：构建统一综合态势展示界面，整合密码应用全维度核心数据，可从密码协议（如SSL、TLS、TLCP等协议的合规性与使用分布）、密码算法（如加密算法强度、弱算法占比）、数字证书（如证书有效期、颁发机构合规性、签名正确性）等关键方面。</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与商用密码中枢平台和商用密码监督管理信息平台建立深度协同机制，实现双向数据互通与服务能力融合。通过标准化接口与安全通信通道，实时交互密码设备状态、策略执行信息、运行日志及风险情报等关键数据，形成数据闭环。</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3）系统包含密码应用资产管理、实时监测分析、漏洞扫描检测、风险识别预警、安全态势评估、网络及主机数据采集等核心功能。</w:t>
            </w:r>
          </w:p>
          <w:p>
            <w:pPr>
              <w:pStyle w:val="null3"/>
              <w:ind w:firstLine="640"/>
              <w:jc w:val="both"/>
            </w:pPr>
            <w:r>
              <w:rPr>
                <w:rFonts w:ascii="仿宋_GB2312" w:hAnsi="仿宋_GB2312" w:cs="仿宋_GB2312" w:eastAsia="仿宋_GB2312"/>
                <w:sz w:val="24"/>
              </w:rPr>
              <w:t>2.数据资源建设及数据治理</w:t>
            </w:r>
          </w:p>
          <w:p>
            <w:pPr>
              <w:pStyle w:val="null3"/>
              <w:ind w:firstLine="640"/>
              <w:jc w:val="both"/>
            </w:pPr>
            <w:r>
              <w:rPr>
                <w:rFonts w:ascii="仿宋_GB2312" w:hAnsi="仿宋_GB2312" w:cs="仿宋_GB2312" w:eastAsia="仿宋_GB2312"/>
                <w:sz w:val="24"/>
              </w:rPr>
              <w:t>对涉及西安市重要政务信息系统的密码产品、网络设备、安全设备、主机等密码应用数据、密码协议数据、密码算法数据、数字证书数据等统一数据定义、格式、编码等规范，解决数据孤岛与不一致问题，保障数据通用性与互操作性；完成数据共享，实现跨系统、跨场景的数据汇聚与高效流转。</w:t>
            </w:r>
          </w:p>
          <w:p>
            <w:pPr>
              <w:pStyle w:val="null3"/>
              <w:ind w:firstLine="640"/>
              <w:jc w:val="both"/>
            </w:pPr>
            <w:r>
              <w:rPr>
                <w:rFonts w:ascii="仿宋_GB2312" w:hAnsi="仿宋_GB2312" w:cs="仿宋_GB2312" w:eastAsia="仿宋_GB2312"/>
                <w:sz w:val="24"/>
              </w:rPr>
              <w:t>3.态势感知</w:t>
            </w:r>
          </w:p>
          <w:p>
            <w:pPr>
              <w:pStyle w:val="null3"/>
              <w:ind w:firstLine="640"/>
              <w:jc w:val="both"/>
            </w:pPr>
            <w:r>
              <w:rPr>
                <w:rFonts w:ascii="仿宋_GB2312" w:hAnsi="仿宋_GB2312" w:cs="仿宋_GB2312" w:eastAsia="仿宋_GB2312"/>
                <w:sz w:val="24"/>
              </w:rPr>
              <w:t>运用</w:t>
            </w:r>
            <w:r>
              <w:rPr>
                <w:rFonts w:ascii="仿宋_GB2312" w:hAnsi="仿宋_GB2312" w:cs="仿宋_GB2312" w:eastAsia="仿宋_GB2312"/>
                <w:sz w:val="24"/>
              </w:rPr>
              <w:t>AI技术实现安全专家的远程值守，为安全运营提供实时技术支持和决策建议；面对海量告警信息，借助机器学习等智能分析手段大幅降噪，有效过滤冗余与误报，显著减轻运营压力；对发生的安全事件进行研判，快速定位事件根源与性质，为应急处置与响应提供坚实支撑。</w:t>
            </w:r>
          </w:p>
          <w:p>
            <w:pPr>
              <w:pStyle w:val="null3"/>
              <w:ind w:firstLine="640"/>
              <w:jc w:val="both"/>
            </w:pPr>
            <w:r>
              <w:rPr>
                <w:rFonts w:ascii="仿宋_GB2312" w:hAnsi="仿宋_GB2312" w:cs="仿宋_GB2312" w:eastAsia="仿宋_GB2312"/>
                <w:sz w:val="24"/>
              </w:rPr>
              <w:t>▲1）密码日志解析：对各种密码服务、密码设备日志告警数据，无需人工干预，AI能够自适应完成数据接入、数据解析、数据富化到最终生成告警。AI解析成功率99.5%以上。</w:t>
            </w:r>
          </w:p>
          <w:p>
            <w:pPr>
              <w:pStyle w:val="null3"/>
              <w:ind w:firstLine="640"/>
              <w:jc w:val="both"/>
            </w:pPr>
            <w:r>
              <w:rPr>
                <w:rFonts w:ascii="仿宋_GB2312" w:hAnsi="仿宋_GB2312" w:cs="仿宋_GB2312" w:eastAsia="仿宋_GB2312"/>
                <w:sz w:val="24"/>
              </w:rPr>
              <w:t>▲2）智能体溯源分析：针对网络安全与数据安全事件，支持跨主机抓取相关日志进行关联分析，分析中提取期间使用进程行为日志、文件操作日志、系统日志、网络连接日志、登录认证日志、web服务器日志、bash操作等等。</w:t>
            </w:r>
          </w:p>
          <w:p>
            <w:pPr>
              <w:pStyle w:val="null3"/>
              <w:ind w:firstLine="640"/>
              <w:jc w:val="both"/>
            </w:pPr>
            <w:r>
              <w:rPr>
                <w:rFonts w:ascii="仿宋_GB2312" w:hAnsi="仿宋_GB2312" w:cs="仿宋_GB2312" w:eastAsia="仿宋_GB2312"/>
                <w:sz w:val="24"/>
              </w:rPr>
              <w:t>3）密码告警监控展示：支持展示AI智能识别出的密码服务、密码设备日志告警总数、重点关注告警数、有效事件数、AI降噪的低威胁告警。</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4）日志告警降噪模型：网络安全、数据安全日志告警的降噪模型≥5种，其中包括图模型引擎、主动发现引擎、大语言模型降噪、智能体智能研判、业务知识语义降噪等模型引擎。降噪率≥98%，重要安全事件召回率≥95%。</w:t>
            </w:r>
          </w:p>
          <w:p>
            <w:pPr>
              <w:pStyle w:val="null3"/>
              <w:ind w:firstLine="643"/>
              <w:jc w:val="both"/>
            </w:pPr>
            <w:r>
              <w:rPr>
                <w:rFonts w:ascii="仿宋_GB2312" w:hAnsi="仿宋_GB2312" w:cs="仿宋_GB2312" w:eastAsia="仿宋_GB2312"/>
                <w:sz w:val="24"/>
                <w:b/>
              </w:rPr>
              <w:t>三</w:t>
            </w:r>
            <w:r>
              <w:rPr>
                <w:rFonts w:ascii="仿宋_GB2312" w:hAnsi="仿宋_GB2312" w:cs="仿宋_GB2312" w:eastAsia="仿宋_GB2312"/>
                <w:sz w:val="24"/>
                <w:b/>
              </w:rPr>
              <w:t>、技术要求</w:t>
            </w:r>
          </w:p>
          <w:p>
            <w:pPr>
              <w:pStyle w:val="null3"/>
              <w:ind w:firstLine="640"/>
              <w:jc w:val="both"/>
            </w:pPr>
            <w:r>
              <w:rPr>
                <w:rFonts w:ascii="仿宋_GB2312" w:hAnsi="仿宋_GB2312" w:cs="仿宋_GB2312" w:eastAsia="仿宋_GB2312"/>
                <w:sz w:val="24"/>
              </w:rPr>
              <w:t>1.软硬件国产化要求</w:t>
            </w:r>
          </w:p>
          <w:p>
            <w:pPr>
              <w:pStyle w:val="null3"/>
              <w:ind w:firstLine="640"/>
              <w:jc w:val="both"/>
            </w:pPr>
            <w:r>
              <w:rPr>
                <w:rFonts w:ascii="仿宋_GB2312" w:hAnsi="仿宋_GB2312" w:cs="仿宋_GB2312" w:eastAsia="仿宋_GB2312"/>
                <w:sz w:val="24"/>
              </w:rPr>
              <w:t>根据国产化安全可控工作要求，本期项目将采用政务云提供的基础环境，平台需与底层硬件、操作系统、数据库、中间件完成相关适配，确保整体技术体系安全可控。</w:t>
            </w:r>
          </w:p>
          <w:p>
            <w:pPr>
              <w:pStyle w:val="null3"/>
              <w:ind w:firstLine="640"/>
              <w:jc w:val="both"/>
            </w:pPr>
            <w:r>
              <w:rPr>
                <w:rFonts w:ascii="仿宋_GB2312" w:hAnsi="仿宋_GB2312" w:cs="仿宋_GB2312" w:eastAsia="仿宋_GB2312"/>
                <w:sz w:val="24"/>
              </w:rPr>
              <w:t>2.系统稳定性要求</w:t>
            </w:r>
          </w:p>
          <w:p>
            <w:pPr>
              <w:pStyle w:val="null3"/>
              <w:ind w:firstLine="640"/>
              <w:jc w:val="both"/>
            </w:pPr>
            <w:r>
              <w:rPr>
                <w:rFonts w:ascii="仿宋_GB2312" w:hAnsi="仿宋_GB2312" w:cs="仿宋_GB2312" w:eastAsia="仿宋_GB2312"/>
                <w:sz w:val="24"/>
              </w:rPr>
              <w:t>1）系统支持应用数：≥200；系统最大并发≥1000；系统响应时延≤10ms；</w:t>
            </w:r>
          </w:p>
          <w:p>
            <w:pPr>
              <w:pStyle w:val="null3"/>
              <w:ind w:firstLine="640"/>
              <w:jc w:val="both"/>
            </w:pPr>
            <w:r>
              <w:rPr>
                <w:rFonts w:ascii="仿宋_GB2312" w:hAnsi="仿宋_GB2312" w:cs="仿宋_GB2312" w:eastAsia="仿宋_GB2312"/>
                <w:sz w:val="24"/>
              </w:rPr>
              <w:t>2）连续无故障运行时间大于60天；故障恢复时间小于4小时。</w:t>
            </w:r>
          </w:p>
          <w:p>
            <w:pPr>
              <w:pStyle w:val="null3"/>
              <w:ind w:firstLine="643"/>
              <w:jc w:val="both"/>
            </w:pPr>
            <w:r>
              <w:rPr>
                <w:rFonts w:ascii="仿宋_GB2312" w:hAnsi="仿宋_GB2312" w:cs="仿宋_GB2312" w:eastAsia="仿宋_GB2312"/>
                <w:sz w:val="24"/>
                <w:b/>
              </w:rPr>
              <w:t>四</w:t>
            </w:r>
            <w:r>
              <w:rPr>
                <w:rFonts w:ascii="仿宋_GB2312" w:hAnsi="仿宋_GB2312" w:cs="仿宋_GB2312" w:eastAsia="仿宋_GB2312"/>
                <w:sz w:val="24"/>
                <w:b/>
              </w:rPr>
              <w:t>、其他要求</w:t>
            </w:r>
          </w:p>
          <w:p>
            <w:pPr>
              <w:pStyle w:val="null3"/>
              <w:ind w:firstLine="640"/>
              <w:jc w:val="both"/>
            </w:pPr>
            <w:r>
              <w:rPr>
                <w:rFonts w:ascii="仿宋_GB2312" w:hAnsi="仿宋_GB2312" w:cs="仿宋_GB2312" w:eastAsia="仿宋_GB2312"/>
                <w:sz w:val="24"/>
              </w:rPr>
              <w:t>（一）售后服务</w:t>
            </w:r>
          </w:p>
          <w:p>
            <w:pPr>
              <w:pStyle w:val="null3"/>
              <w:ind w:firstLine="640"/>
              <w:jc w:val="both"/>
            </w:pPr>
            <w:r>
              <w:rPr>
                <w:rFonts w:ascii="仿宋_GB2312" w:hAnsi="仿宋_GB2312" w:cs="仿宋_GB2312" w:eastAsia="仿宋_GB2312"/>
                <w:sz w:val="24"/>
              </w:rPr>
              <w:t>1.在质量保证期内提供以下技术支持和服务：</w:t>
            </w:r>
          </w:p>
          <w:p>
            <w:pPr>
              <w:pStyle w:val="null3"/>
              <w:ind w:firstLine="640"/>
              <w:jc w:val="both"/>
            </w:pPr>
            <w:r>
              <w:rPr>
                <w:rFonts w:ascii="仿宋_GB2312" w:hAnsi="仿宋_GB2312" w:cs="仿宋_GB2312" w:eastAsia="仿宋_GB2312"/>
                <w:sz w:val="24"/>
              </w:rPr>
              <w:t>1.1电话咨询</w:t>
            </w:r>
          </w:p>
          <w:p>
            <w:pPr>
              <w:pStyle w:val="null3"/>
              <w:ind w:firstLine="640"/>
              <w:jc w:val="both"/>
            </w:pPr>
            <w:r>
              <w:rPr>
                <w:rFonts w:ascii="仿宋_GB2312" w:hAnsi="仿宋_GB2312" w:cs="仿宋_GB2312" w:eastAsia="仿宋_GB2312"/>
                <w:sz w:val="24"/>
              </w:rPr>
              <w:t>提供技术援助电话，解答招标人在使用中遇到的问题，及时提出解决问题的建议。</w:t>
            </w:r>
          </w:p>
          <w:p>
            <w:pPr>
              <w:pStyle w:val="null3"/>
              <w:ind w:firstLine="640"/>
              <w:jc w:val="both"/>
            </w:pPr>
            <w:r>
              <w:rPr>
                <w:rFonts w:ascii="仿宋_GB2312" w:hAnsi="仿宋_GB2312" w:cs="仿宋_GB2312" w:eastAsia="仿宋_GB2312"/>
                <w:sz w:val="24"/>
              </w:rPr>
              <w:t>1.2现场响应</w:t>
            </w:r>
          </w:p>
          <w:p>
            <w:pPr>
              <w:pStyle w:val="null3"/>
              <w:ind w:firstLine="640"/>
              <w:jc w:val="both"/>
            </w:pPr>
            <w:r>
              <w:rPr>
                <w:rFonts w:ascii="仿宋_GB2312" w:hAnsi="仿宋_GB2312" w:cs="仿宋_GB2312" w:eastAsia="仿宋_GB2312"/>
                <w:sz w:val="24"/>
              </w:rPr>
              <w:t>遇到使用及技术问题，电话咨询不能解决的，应在</w:t>
            </w:r>
            <w:r>
              <w:rPr>
                <w:rFonts w:ascii="仿宋_GB2312" w:hAnsi="仿宋_GB2312" w:cs="仿宋_GB2312" w:eastAsia="仿宋_GB2312"/>
                <w:sz w:val="24"/>
              </w:rPr>
              <w:t>12小时内到达现场进行处理，确保产品正常工作。</w:t>
            </w:r>
          </w:p>
          <w:p>
            <w:pPr>
              <w:pStyle w:val="null3"/>
              <w:ind w:firstLine="640"/>
              <w:jc w:val="both"/>
            </w:pPr>
            <w:r>
              <w:rPr>
                <w:rFonts w:ascii="仿宋_GB2312" w:hAnsi="仿宋_GB2312" w:cs="仿宋_GB2312" w:eastAsia="仿宋_GB2312"/>
                <w:sz w:val="24"/>
              </w:rPr>
              <w:t>1.3技术升级</w:t>
            </w:r>
          </w:p>
          <w:p>
            <w:pPr>
              <w:pStyle w:val="null3"/>
              <w:ind w:firstLine="640"/>
              <w:jc w:val="both"/>
            </w:pPr>
            <w:r>
              <w:rPr>
                <w:rFonts w:ascii="仿宋_GB2312" w:hAnsi="仿宋_GB2312" w:cs="仿宋_GB2312" w:eastAsia="仿宋_GB2312"/>
                <w:sz w:val="24"/>
              </w:rPr>
              <w:t>在质保期内，如需产品技术升级，应及时通知采购人，按照采购人相应要求，对产品进行升级服务。</w:t>
            </w:r>
          </w:p>
          <w:p>
            <w:pPr>
              <w:pStyle w:val="null3"/>
              <w:ind w:firstLine="640"/>
              <w:jc w:val="both"/>
            </w:pPr>
            <w:r>
              <w:rPr>
                <w:rFonts w:ascii="仿宋_GB2312" w:hAnsi="仿宋_GB2312" w:cs="仿宋_GB2312" w:eastAsia="仿宋_GB2312"/>
                <w:sz w:val="24"/>
              </w:rPr>
              <w:t>2.质保期外服务要求</w:t>
            </w:r>
          </w:p>
          <w:p>
            <w:pPr>
              <w:pStyle w:val="null3"/>
              <w:ind w:firstLine="640"/>
              <w:jc w:val="both"/>
            </w:pPr>
            <w:r>
              <w:rPr>
                <w:rFonts w:ascii="仿宋_GB2312" w:hAnsi="仿宋_GB2312" w:cs="仿宋_GB2312" w:eastAsia="仿宋_GB2312"/>
                <w:sz w:val="24"/>
              </w:rPr>
              <w:t>2.1质量保证期过后，必须提供免费电话咨询服务，并应承诺提供产品上门维护服务。</w:t>
            </w:r>
          </w:p>
          <w:p>
            <w:pPr>
              <w:pStyle w:val="null3"/>
              <w:ind w:firstLine="640"/>
              <w:jc w:val="both"/>
            </w:pPr>
            <w:r>
              <w:rPr>
                <w:rFonts w:ascii="仿宋_GB2312" w:hAnsi="仿宋_GB2312" w:cs="仿宋_GB2312" w:eastAsia="仿宋_GB2312"/>
                <w:sz w:val="24"/>
              </w:rPr>
              <w:t>2.2质量保证期过后，供应商承诺以优惠价格继续提供原厂售后服务。</w:t>
            </w:r>
          </w:p>
          <w:p>
            <w:pPr>
              <w:pStyle w:val="null3"/>
              <w:ind w:firstLine="640"/>
              <w:jc w:val="both"/>
            </w:pPr>
            <w:r>
              <w:rPr>
                <w:rFonts w:ascii="仿宋_GB2312" w:hAnsi="仿宋_GB2312" w:cs="仿宋_GB2312" w:eastAsia="仿宋_GB2312"/>
                <w:sz w:val="24"/>
              </w:rPr>
              <w:t>（二）培训服务</w:t>
            </w:r>
          </w:p>
          <w:p>
            <w:pPr>
              <w:pStyle w:val="null3"/>
              <w:ind w:firstLine="640"/>
              <w:jc w:val="both"/>
            </w:pPr>
            <w:r>
              <w:rPr>
                <w:rFonts w:ascii="仿宋_GB2312" w:hAnsi="仿宋_GB2312" w:cs="仿宋_GB2312" w:eastAsia="仿宋_GB2312"/>
                <w:sz w:val="24"/>
              </w:rPr>
              <w:t>1.培训内容应针对软件产品的开发和管理、运行与维护管理、用户使用等分类进行。通过培训应使各类用户能独立进行相应应用与管理、故障处理、日常维护等工作，确保系统能正常安全运行。</w:t>
            </w:r>
          </w:p>
          <w:p>
            <w:pPr>
              <w:pStyle w:val="null3"/>
              <w:ind w:firstLine="640"/>
              <w:jc w:val="both"/>
            </w:pPr>
            <w:r>
              <w:rPr>
                <w:rFonts w:ascii="仿宋_GB2312" w:hAnsi="仿宋_GB2312" w:cs="仿宋_GB2312" w:eastAsia="仿宋_GB2312"/>
                <w:sz w:val="24"/>
              </w:rPr>
              <w:t>2.提供培训计划，包括培训项目、对象、内容和方式等详细内容。</w:t>
            </w:r>
          </w:p>
          <w:p>
            <w:pPr>
              <w:pStyle w:val="null3"/>
              <w:ind w:firstLine="640"/>
              <w:jc w:val="both"/>
            </w:pPr>
            <w:r>
              <w:rPr>
                <w:rFonts w:ascii="仿宋_GB2312" w:hAnsi="仿宋_GB2312" w:cs="仿宋_GB2312" w:eastAsia="仿宋_GB2312"/>
                <w:sz w:val="24"/>
              </w:rPr>
              <w:t>3.培训人员必须是供应商的正式员工或专业的授权培训机构人员。</w:t>
            </w:r>
          </w:p>
          <w:p>
            <w:pPr>
              <w:pStyle w:val="null3"/>
              <w:ind w:firstLine="640"/>
              <w:jc w:val="both"/>
            </w:pPr>
            <w:r>
              <w:rPr>
                <w:rFonts w:ascii="仿宋_GB2312" w:hAnsi="仿宋_GB2312" w:cs="仿宋_GB2312" w:eastAsia="仿宋_GB2312"/>
                <w:sz w:val="24"/>
              </w:rPr>
              <w:t>（三）验收要求</w:t>
            </w:r>
          </w:p>
          <w:p>
            <w:pPr>
              <w:pStyle w:val="null3"/>
              <w:ind w:firstLine="640"/>
              <w:jc w:val="both"/>
            </w:pPr>
            <w:r>
              <w:rPr>
                <w:rFonts w:ascii="仿宋_GB2312" w:hAnsi="仿宋_GB2312" w:cs="仿宋_GB2312" w:eastAsia="仿宋_GB2312"/>
                <w:sz w:val="24"/>
              </w:rPr>
              <w:t>项目完成后，按照验收标准，对项目的各项功能进行验证，确保功能完备、符合要求，并按通过网络安全等级保护和商用密码应用安全性评估。</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必须是供应商的正式员工或专业的授权培训机构人员。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本期项目将采用政务云提供的国产化基础环境，平台需与底层硬件、操作系统、数据库、中间件完成相关适配。</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支持与密码厂商及密码设备进行联调适配。</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服务期：自签订合同至完成终验及绩效评估完成。质保期：完成交付验收合格之日起质保一年。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中共西安市委办公厅指定地点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支持与密码厂商及密码设备进行联调适配；项目完成后，按照验收标准，对项目的各项功能进行验证，确保功能完备、符合要求，并按通过网络安全等级保护和商用密码应用安全性评估。</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绩效评价后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提供经会计师事务所审计的2024年财务审计报告（且出具的审计报告应当经过注册会计师行业统一监管平台备案赋码）或银行出具的资信证明。（成立时间至提交响应文件截止时间不足三个月的可不提供）；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半年内任意一个月的社会保障资金缴存单据或社保机构开具的社会保险参保缴费情况证明，单据或证明上应有社保机构或代收机构的公章或业务专用章。（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半年内任意一个月的纳税证明或完税证明，单据应有代收机构或税务机关的公章或业务专用章，依法免税的单位应提供相关证明材料。（成立时间至提交响应文件截止时间不足三个月的可不提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提供法定代表人授权委托书及被授权人身份证（供应商为法定代表人时，须提交法定代表人证明书）；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三年无重大违法声明</w:t>
            </w:r>
          </w:p>
        </w:tc>
        <w:tc>
          <w:tcPr>
            <w:tcW w:type="dxa" w:w="3322"/>
          </w:tcPr>
          <w:p>
            <w:pPr>
              <w:pStyle w:val="null3"/>
            </w:pPr>
            <w:r>
              <w:rPr>
                <w:rFonts w:ascii="仿宋_GB2312" w:hAnsi="仿宋_GB2312" w:cs="仿宋_GB2312" w:eastAsia="仿宋_GB2312"/>
              </w:rPr>
              <w:t>参加政府采购活动前三年内，在经营活动中没有重大违法记录，提供无重大违法记录声明函；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具有履行合同必需的设备和专业技术能力书面声明，提供声明函并加盖单位公章；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信用查询截图</w:t>
            </w:r>
          </w:p>
        </w:tc>
        <w:tc>
          <w:tcPr>
            <w:tcW w:type="dxa" w:w="3322"/>
          </w:tcPr>
          <w:p>
            <w:pPr>
              <w:pStyle w:val="null3"/>
            </w:pPr>
            <w:r>
              <w:rPr>
                <w:rFonts w:ascii="仿宋_GB2312" w:hAnsi="仿宋_GB2312" w:cs="仿宋_GB2312" w:eastAsia="仿宋_GB2312"/>
              </w:rPr>
              <w:t>被中国执行信息公开网(http://zxgk.court.gov.cn/shixin/)列入失信被执行人的供应商、或被信用中国网站(www.creditchina.govcn)列入重大税收违法失信主体和政府采购严重违法失信名单的供应商、或被中国政府采购网(www.ccgp.gov .cn)列入政府采购严重违法失信行为记录名单中被财政部门禁止参加政府采购活动的供应商 (处罚决定规定的时间和地域范围内)，无资格参加本项目的采购活动，提供查询结果网页截图加盖公章；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非联合体投标声明函</w:t>
            </w:r>
          </w:p>
        </w:tc>
        <w:tc>
          <w:tcPr>
            <w:tcW w:type="dxa" w:w="3322"/>
          </w:tcPr>
          <w:p>
            <w:pPr>
              <w:pStyle w:val="null3"/>
            </w:pPr>
            <w:r>
              <w:rPr>
                <w:rFonts w:ascii="仿宋_GB2312" w:hAnsi="仿宋_GB2312" w:cs="仿宋_GB2312" w:eastAsia="仿宋_GB2312"/>
              </w:rPr>
              <w:t>本项目不接受联合体投标，提供非联合体投标声明函。</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响应文件项目名称及编号</w:t>
            </w:r>
          </w:p>
        </w:tc>
        <w:tc>
          <w:tcPr>
            <w:tcW w:type="dxa" w:w="3322"/>
          </w:tcPr>
          <w:p>
            <w:pPr>
              <w:pStyle w:val="null3"/>
            </w:pPr>
            <w:r>
              <w:rPr>
                <w:rFonts w:ascii="仿宋_GB2312" w:hAnsi="仿宋_GB2312" w:cs="仿宋_GB2312" w:eastAsia="仿宋_GB2312"/>
              </w:rPr>
              <w:t>响应文件项目名称及编号一致</w:t>
            </w:r>
          </w:p>
        </w:tc>
        <w:tc>
          <w:tcPr>
            <w:tcW w:type="dxa" w:w="1661"/>
          </w:tcPr>
          <w:p>
            <w:pPr>
              <w:pStyle w:val="null3"/>
            </w:pPr>
            <w:r>
              <w:rPr>
                <w:rFonts w:ascii="仿宋_GB2312" w:hAnsi="仿宋_GB2312" w:cs="仿宋_GB2312" w:eastAsia="仿宋_GB2312"/>
              </w:rPr>
              <w:t>开标一览表 服务内容及服务邀请应答表 投标报价明细表.docx 中小企业声明函 商务应答表 资格证明文件.docx 投标函 残疾人福利性单位声明函 标的清单 企业关联关系承诺书.docx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响应文件签字、签章</w:t>
            </w:r>
          </w:p>
        </w:tc>
        <w:tc>
          <w:tcPr>
            <w:tcW w:type="dxa" w:w="3322"/>
          </w:tcPr>
          <w:p>
            <w:pPr>
              <w:pStyle w:val="null3"/>
            </w:pPr>
            <w:r>
              <w:rPr>
                <w:rFonts w:ascii="仿宋_GB2312" w:hAnsi="仿宋_GB2312" w:cs="仿宋_GB2312" w:eastAsia="仿宋_GB2312"/>
              </w:rPr>
              <w:t>签字、盖章符合招标文件要求。</w:t>
            </w:r>
          </w:p>
        </w:tc>
        <w:tc>
          <w:tcPr>
            <w:tcW w:type="dxa" w:w="1661"/>
          </w:tcPr>
          <w:p>
            <w:pPr>
              <w:pStyle w:val="null3"/>
            </w:pPr>
            <w:r>
              <w:rPr>
                <w:rFonts w:ascii="仿宋_GB2312" w:hAnsi="仿宋_GB2312" w:cs="仿宋_GB2312" w:eastAsia="仿宋_GB2312"/>
              </w:rPr>
              <w:t>开标一览表 服务内容及服务邀请应答表 投标报价明细表.docx 项目业绩表.docx 中小企业声明函 商务应答表 资格证明文件.docx 人员配备表.docx 投标函 残疾人福利性单位声明函 标的清单 企业关联关系承诺书.docx 投标文件封面 陕西省政府采购供应商拒绝政府采购领域商业贿赂承诺书.docx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（1）报价唯一；（2）报价货币符合招标文件要求 ；（3）报价不得超过第二章“供应商须知”前附表规定的采购预算金额或最高限价。</w:t>
            </w:r>
          </w:p>
        </w:tc>
        <w:tc>
          <w:tcPr>
            <w:tcW w:type="dxa" w:w="1661"/>
          </w:tcPr>
          <w:p>
            <w:pPr>
              <w:pStyle w:val="null3"/>
            </w:pPr>
            <w:r>
              <w:rPr>
                <w:rFonts w:ascii="仿宋_GB2312" w:hAnsi="仿宋_GB2312" w:cs="仿宋_GB2312" w:eastAsia="仿宋_GB2312"/>
              </w:rPr>
              <w:t>开标一览表 投标报价明细表.docx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按照采购项目全部商务要求逐条响应，且不可负偏离，否则视为无效投标。</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1）不同供应商的响应文件由同一单位或者个人编制；（2）不同供应商委托同一单位或者个人办理投标事宜；（3）不同供应商的响应文件载明的项目管理成员或者联系人员为同一人；（4）不同供应商的响应文件异常一致或者响应报价呈规律性差异。</w:t>
            </w:r>
          </w:p>
        </w:tc>
        <w:tc>
          <w:tcPr>
            <w:tcW w:type="dxa" w:w="1661"/>
          </w:tcPr>
          <w:p>
            <w:pPr>
              <w:pStyle w:val="null3"/>
            </w:pPr>
            <w:r>
              <w:rPr>
                <w:rFonts w:ascii="仿宋_GB2312" w:hAnsi="仿宋_GB2312" w:cs="仿宋_GB2312" w:eastAsia="仿宋_GB2312"/>
              </w:rPr>
              <w:t>开标一览表 服务内容及服务邀请应答表 投标报价明细表.docx 项目业绩表.docx 商务应答表 标的清单 企业关联关系承诺书.docx 资格证明文件.docx 陕西省政府采购供应商拒绝政府采购领域商业贿赂承诺书.docx 人员配备表.docx 服务方案.docx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产品技术指标及功能</w:t>
            </w:r>
          </w:p>
        </w:tc>
        <w:tc>
          <w:tcPr>
            <w:tcW w:type="dxa" w:w="2492"/>
          </w:tcPr>
          <w:p>
            <w:pPr>
              <w:pStyle w:val="null3"/>
            </w:pPr>
            <w:r>
              <w:rPr>
                <w:rFonts w:ascii="仿宋_GB2312" w:hAnsi="仿宋_GB2312" w:cs="仿宋_GB2312" w:eastAsia="仿宋_GB2312"/>
              </w:rPr>
              <w:t>依据各投标供应商主要技术指标、参数、性能等情况全部满足参数要求得 20分；招标文件标注“▲”为重要技术指标，每有一项未响应或负偏离扣3分，其他参数为一般技术指标，每有一项未响应或负偏离扣1 分，扣完为止。 备注：“▲”的重要技术指标需提供功能截图等证明材料。</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建设方案</w:t>
            </w:r>
          </w:p>
        </w:tc>
        <w:tc>
          <w:tcPr>
            <w:tcW w:type="dxa" w:w="2492"/>
          </w:tcPr>
          <w:p>
            <w:pPr>
              <w:pStyle w:val="null3"/>
            </w:pPr>
            <w:r>
              <w:rPr>
                <w:rFonts w:ascii="仿宋_GB2312" w:hAnsi="仿宋_GB2312" w:cs="仿宋_GB2312" w:eastAsia="仿宋_GB2312"/>
              </w:rPr>
              <w:t>针对本项目提供项目建设方案，方案包括①建设背景；②建设现状；③需求分析；④建设目标；⑤总体思路；⑥总体设计；⑦集成设计方案（需包含与“政务云密码服务平台”、“ 商用密码监督管理信息平台”的集成设计、集成接口、集成状态展示、集成内容，提供完整的集成方案）⑧安全可靠性设计。 方案各项内容全面详细、阐述条理清晰、针对性强，实时性科学合理，能完全满足采购人要求。 每项满分5分，缺项不得分；每存在一个缺陷，扣1分，扣完为止。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针对本项目提供项目实施方案：包括①项目阶段划分及项目阶段时间安排；②项目各阶段工作主要内容；③项目进度保障措施；④质量保障与风险管控措施；⑤团队组织与沟通机制。 方案各项内容全面详细、阐述条理清晰、能确保项目顺利实施。 每项满分2分，缺项不得分；每存在一个缺陷，扣1分，扣完为止。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投标人须为本项目配备足够的本地化服务团队，针对本项目拟派团队服务人员应≥10人，项目团队配置不满足此要求不得分，满足此要求按以下进行赋分： 1.拟派项目负责人（3分） 拟派项目负责人具备系统集成项目管理工程师证书（计算机技术与软件专业技术资格水平考试），得3分；提供相关证书及开标前一个月在本单位已缴纳的社保证明资料。 2.拟派团队人员配备（2分） 项目团队（除项目负责人外），具有注册信息安全专业人员(CISP)资格证书的，每提供一人得1分，最高得2分；提供相关证书及开标前一个月在本单位已缴纳的社保证明资料。 备注：同一人员拥有多个证书的不重复计算。</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供应商针对本项目及采购人实际需求提供详细具体可行的售后服务方案，包括①售后服务范围及服务保障措施；②售后服务承诺；③售后服务人员配置及职责分工；④应急预案及处置措施。 售后服务方案各项内容全面详细、阐述条理清晰、针对性强，实施性科学合理。 每项满分1分，缺项不得分；每存在一个缺陷，扣0.5分，扣完为止。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负责为使用单位培训，有完整的培训方案，包括①培训时间；②培训方式；③培训目标对象；④培训内容等。 培训方案全面详细、阐述条理清晰、针对性强，实施性科学合理。 每项满分1分，缺项不得分；每存在一个缺陷，扣0.5分，扣完为止。 备注：缺陷是指内容不合理、虽有内容但不完善、内容表述前后不一致、套用其他项目方案或与项目需求不匹配及其他不利于项目实施的任意一种情形。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供应商提供2022年10月1日至今类似项目业绩证明文件（以采购合同签订时间为准），每提供1份得1分，最高得2分，不提供不得分。 注：业绩证明文件以合同复印件并加盖公章为准。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详见附件：投标报价明细表.docx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详见附件：企业关联关系承诺书.docx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详见附件：人员配备表.docx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