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版本号：ZMZB2025DSYY-42420251029001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大差市院区消毒供应中心设施购置项目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ZMZB2025DSYY-424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大差市院区消毒供应中心设施购置项目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ZMZB2025DSYY-424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大差市院区消毒供应中心设施购置项目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大差市院区消毒供应中心设施购置项目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以及本人的社保缴纳证明（2025年1月以来任意一个月的社保资金缴纳证明材料，社保缴纳单位须为投标供应商），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下浮20%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踏勘时间：2025-11-18 09:30:00</w:t>
            </w:r>
          </w:p>
          <w:p>
            <w:pPr>
              <w:pStyle w:val="null3"/>
              <w:ind w:firstLine="975"/>
            </w:pPr>
            <w:r>
              <w:rPr>
                <w:rFonts w:ascii="仿宋_GB2312" w:hAnsi="仿宋_GB2312" w:cs="仿宋_GB2312" w:eastAsia="仿宋_GB2312"/>
              </w:rPr>
              <w:t>踏勘地点：大差市院区供应室</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大差市院区供应消毒中心购置消毒设施一批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大差市院区消毒供应中心设施购置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标的名称：大差市院区消毒供应中心设施购置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大差市院区消毒供应中心设施购置参数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一、品目参数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品目</w:t>
            </w:r>
            <w:r>
              <w:rPr>
                <w:rFonts w:ascii="仿宋_GB2312" w:hAnsi="仿宋_GB2312" w:cs="仿宋_GB2312" w:eastAsia="仿宋_GB2312"/>
                <w:sz w:val="28"/>
              </w:rPr>
              <w:t>1、真空干燥柜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rPr>
              <w:t>（一）参数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rPr>
              <w:t>容积：</w:t>
            </w:r>
            <w:r>
              <w:rPr>
                <w:rFonts w:ascii="仿宋_GB2312" w:hAnsi="仿宋_GB2312" w:cs="仿宋_GB2312" w:eastAsia="仿宋_GB2312"/>
                <w:sz w:val="28"/>
              </w:rPr>
              <w:t>≥100L。</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rPr>
              <w:t>材质要求：柜体采用铝合金材质，要求具有热传导性，表面光洁，提高热辐射效率。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rPr>
              <w:t>舱体结构：双舱体设计，可分开独立运行。全铝合金导轨、抽拉式搁板。</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rPr>
              <w:t>内室尺寸满足长度为</w:t>
            </w:r>
            <w:r>
              <w:rPr>
                <w:rFonts w:ascii="仿宋_GB2312" w:hAnsi="仿宋_GB2312" w:cs="仿宋_GB2312" w:eastAsia="仿宋_GB2312"/>
                <w:sz w:val="28"/>
              </w:rPr>
              <w:t>≥700mm腔镜的干燥处理。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8"/>
              </w:rPr>
              <w:t>控制系统采用</w:t>
            </w:r>
            <w:r>
              <w:rPr>
                <w:rFonts w:ascii="仿宋_GB2312" w:hAnsi="仿宋_GB2312" w:cs="仿宋_GB2312" w:eastAsia="仿宋_GB2312"/>
                <w:sz w:val="28"/>
              </w:rPr>
              <w:t>≥</w:t>
            </w:r>
            <w:r>
              <w:rPr>
                <w:rFonts w:ascii="仿宋_GB2312" w:hAnsi="仿宋_GB2312" w:cs="仿宋_GB2312" w:eastAsia="仿宋_GB2312"/>
                <w:sz w:val="28"/>
              </w:rPr>
              <w:t>7英寸彩色触摸屏，可显示舱壁温度、舱内压力、运行时间、报警信息等参数；感应式按键操作，一键启动。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8"/>
              </w:rPr>
              <w:t>压力检测：采用进口压力传感器（提供相关材料）</w:t>
            </w:r>
            <w:r>
              <w:rPr>
                <w:rFonts w:ascii="仿宋_GB2312" w:hAnsi="仿宋_GB2312" w:cs="仿宋_GB2312" w:eastAsia="仿宋_GB2312"/>
                <w:sz w:val="28"/>
              </w:rPr>
              <w:t xml:space="preserve">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8"/>
              </w:rPr>
              <w:t>可根据需求自行调节参数，并保存自定义；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8"/>
              </w:rPr>
              <w:t>门结构：自动门结构，电动锁，自动密封，自动检测门关位，一键开门；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8"/>
              </w:rPr>
              <w:t>可做通道式前后门结构，满足隔断式安装要求。</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8"/>
              </w:rPr>
              <w:t>≥18mm钢化玻璃密封，高透视窗。</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8"/>
              </w:rPr>
              <w:t>干燥时间：脉动次数</w:t>
            </w:r>
            <w:r>
              <w:rPr>
                <w:rFonts w:ascii="仿宋_GB2312" w:hAnsi="仿宋_GB2312" w:cs="仿宋_GB2312" w:eastAsia="仿宋_GB2312"/>
                <w:sz w:val="28"/>
              </w:rPr>
              <w:t>1～10次可设，脉动时间1～99min可调。</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8"/>
              </w:rPr>
              <w:t>控制方式：压力传感器控制回空，检查舱内压力；自带保压测试程序，可对设备密封性、</w:t>
            </w:r>
            <w:r>
              <w:rPr>
                <w:rFonts w:ascii="仿宋_GB2312" w:hAnsi="仿宋_GB2312" w:cs="仿宋_GB2312" w:eastAsia="仿宋_GB2312"/>
                <w:sz w:val="27"/>
              </w:rPr>
              <w:t>真空度等性能</w:t>
            </w:r>
            <w:r>
              <w:rPr>
                <w:rFonts w:ascii="仿宋_GB2312" w:hAnsi="仿宋_GB2312" w:cs="仿宋_GB2312" w:eastAsia="仿宋_GB2312"/>
                <w:sz w:val="28"/>
              </w:rPr>
              <w:t>进行准确监测。</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8"/>
              </w:rPr>
              <w:t>配备高效真空泵，要求运行平稳，低噪音，低震动。</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8"/>
              </w:rPr>
              <w:t>配置清单：主机</w:t>
            </w:r>
            <w:r>
              <w:rPr>
                <w:rFonts w:ascii="仿宋_GB2312" w:hAnsi="仿宋_GB2312" w:cs="仿宋_GB2312" w:eastAsia="仿宋_GB2312"/>
                <w:sz w:val="28"/>
              </w:rPr>
              <w:t>1台、装载篮筐4个</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8"/>
              </w:rPr>
              <w:t>（二）数量：</w:t>
            </w:r>
            <w:r>
              <w:rPr>
                <w:rFonts w:ascii="仿宋_GB2312" w:hAnsi="仿宋_GB2312" w:cs="仿宋_GB2312" w:eastAsia="仿宋_GB2312"/>
                <w:sz w:val="28"/>
              </w:rPr>
              <w:t>1台</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8"/>
              </w:rPr>
              <w:t>品目</w:t>
            </w:r>
            <w:r>
              <w:rPr>
                <w:rFonts w:ascii="仿宋_GB2312" w:hAnsi="仿宋_GB2312" w:cs="仿宋_GB2312" w:eastAsia="仿宋_GB2312"/>
                <w:sz w:val="28"/>
              </w:rPr>
              <w:t>2、医用烘干柜</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8"/>
              </w:rPr>
              <w:t>（一）参数</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8"/>
              </w:rPr>
              <w:t>容积</w:t>
            </w:r>
            <w:r>
              <w:rPr>
                <w:rFonts w:ascii="仿宋_GB2312" w:hAnsi="仿宋_GB2312" w:cs="仿宋_GB2312" w:eastAsia="仿宋_GB2312"/>
                <w:sz w:val="28"/>
              </w:rPr>
              <w:t>≥500L,  外形尺寸≤1040* 2025* 700mm(宽高深，高可适当调高)，通道式前后门双门结构，满载一次可处理≥16个DIN标准器械托盘或≥60根导管或≥36个湿化瓶，整体不锈钢外观，显示屏和控制面板位于侧维修门处。</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具有双门互锁功能。</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8"/>
              </w:rPr>
              <w:t>采用</w:t>
            </w:r>
            <w:r>
              <w:rPr>
                <w:rFonts w:ascii="仿宋_GB2312" w:hAnsi="仿宋_GB2312" w:cs="仿宋_GB2312" w:eastAsia="仿宋_GB2312"/>
                <w:sz w:val="28"/>
              </w:rPr>
              <w:t>≥7英寸高清彩色触摸屏作为人机界面，带打印，显示程序类型、实时温度、运行时间、报警信息提示等内容。</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8"/>
              </w:rPr>
              <w:t>风压开关采用进口风压开关。（提供相关材料）</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8"/>
              </w:rPr>
              <w:t>具有加热系统故障检测、保护、报警功能。</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8"/>
              </w:rPr>
              <w:t>适合装夹不同口径（</w:t>
            </w:r>
            <w:r>
              <w:rPr>
                <w:rFonts w:ascii="仿宋_GB2312" w:hAnsi="仿宋_GB2312" w:cs="仿宋_GB2312" w:eastAsia="仿宋_GB2312"/>
                <w:sz w:val="28"/>
              </w:rPr>
              <w:t>φ6～φ30mm）的导管及瓶类物品使用。</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8"/>
              </w:rPr>
              <w:t>配置清单：配置主机</w:t>
            </w:r>
            <w:r>
              <w:rPr>
                <w:rFonts w:ascii="仿宋_GB2312" w:hAnsi="仿宋_GB2312" w:cs="仿宋_GB2312" w:eastAsia="仿宋_GB2312"/>
                <w:sz w:val="28"/>
              </w:rPr>
              <w:t>1台，格栅 9个，标准器械托盘 9个，导管干燥架 1个，湿化瓶干燥架 1个，积水盒 1个</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8"/>
              </w:rPr>
              <w:t>（二）数量：</w:t>
            </w:r>
            <w:r>
              <w:rPr>
                <w:rFonts w:ascii="仿宋_GB2312" w:hAnsi="仿宋_GB2312" w:cs="仿宋_GB2312" w:eastAsia="仿宋_GB2312"/>
                <w:sz w:val="28"/>
              </w:rPr>
              <w:t>1台</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8"/>
              </w:rPr>
              <w:t>品目</w:t>
            </w:r>
            <w:r>
              <w:rPr>
                <w:rFonts w:ascii="仿宋_GB2312" w:hAnsi="仿宋_GB2312" w:cs="仿宋_GB2312" w:eastAsia="仿宋_GB2312"/>
                <w:sz w:val="28"/>
              </w:rPr>
              <w:t>3、器械打包台</w:t>
            </w:r>
            <w:r>
              <w:rPr>
                <w:rFonts w:ascii="仿宋_GB2312" w:hAnsi="仿宋_GB2312" w:cs="仿宋_GB2312" w:eastAsia="仿宋_GB2312"/>
                <w:sz w:val="28"/>
                <w:b/>
              </w:rPr>
              <w:t>（核心产品）</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8"/>
              </w:rPr>
              <w:t>（一）参数</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8"/>
              </w:rPr>
              <w:t>材质：国标</w:t>
            </w:r>
            <w:r>
              <w:rPr>
                <w:rFonts w:ascii="仿宋_GB2312" w:hAnsi="仿宋_GB2312" w:cs="仿宋_GB2312" w:eastAsia="仿宋_GB2312"/>
                <w:sz w:val="28"/>
              </w:rPr>
              <w:t>304不锈钢</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8"/>
              </w:rPr>
              <w:t>光源：顶部</w:t>
            </w:r>
            <w:r>
              <w:rPr>
                <w:rFonts w:ascii="仿宋_GB2312" w:hAnsi="仿宋_GB2312" w:cs="仿宋_GB2312" w:eastAsia="仿宋_GB2312"/>
                <w:sz w:val="28"/>
              </w:rPr>
              <w:t>LED照明灯</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8"/>
              </w:rPr>
              <w:t>主材规格：板材厚度</w:t>
            </w:r>
            <w:r>
              <w:rPr>
                <w:rFonts w:ascii="仿宋_GB2312" w:hAnsi="仿宋_GB2312" w:cs="仿宋_GB2312" w:eastAsia="仿宋_GB2312"/>
                <w:sz w:val="28"/>
              </w:rPr>
              <w:t>≥1.0mm</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8"/>
              </w:rPr>
              <w:t>抽屉：安装把手及导轨的螺栓</w:t>
            </w:r>
            <w:r>
              <w:rPr>
                <w:rFonts w:ascii="仿宋_GB2312" w:hAnsi="仿宋_GB2312" w:cs="仿宋_GB2312" w:eastAsia="仿宋_GB2312"/>
                <w:sz w:val="28"/>
              </w:rPr>
              <w:t>/铆钉无外漏</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8"/>
              </w:rPr>
              <w:t>要求：可按照科室摆放位置定制尺寸，尺寸要求</w:t>
            </w:r>
            <w:r>
              <w:rPr>
                <w:rFonts w:ascii="仿宋_GB2312" w:hAnsi="仿宋_GB2312" w:cs="仿宋_GB2312" w:eastAsia="仿宋_GB2312"/>
                <w:sz w:val="28"/>
              </w:rPr>
              <w:t>（长宽高）</w:t>
            </w:r>
            <w:r>
              <w:rPr>
                <w:rFonts w:ascii="仿宋_GB2312" w:hAnsi="仿宋_GB2312" w:cs="仿宋_GB2312" w:eastAsia="仿宋_GB2312"/>
                <w:sz w:val="28"/>
              </w:rPr>
              <w:t>1800*1500*800mm</w:t>
            </w:r>
            <w:r>
              <w:rPr>
                <w:rFonts w:ascii="仿宋_GB2312" w:hAnsi="仿宋_GB2312" w:cs="仿宋_GB2312" w:eastAsia="仿宋_GB2312"/>
                <w:sz w:val="28"/>
              </w:rPr>
              <w:t>±50mm</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8"/>
              </w:rPr>
              <w:t>器械打包台层架</w:t>
            </w:r>
            <w:r>
              <w:rPr>
                <w:rFonts w:ascii="仿宋_GB2312" w:hAnsi="仿宋_GB2312" w:cs="仿宋_GB2312" w:eastAsia="仿宋_GB2312"/>
                <w:sz w:val="28"/>
              </w:rPr>
              <w:t>≥2个，层架上需接通电源，每个层架电源五孔插座≥4个。</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8"/>
              </w:rPr>
              <w:t>（二）数量：</w:t>
            </w:r>
            <w:r>
              <w:rPr>
                <w:rFonts w:ascii="仿宋_GB2312" w:hAnsi="仿宋_GB2312" w:cs="仿宋_GB2312" w:eastAsia="仿宋_GB2312"/>
                <w:sz w:val="28"/>
              </w:rPr>
              <w:t>2台。</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8"/>
              </w:rPr>
              <w:t>品目</w:t>
            </w:r>
            <w:r>
              <w:rPr>
                <w:rFonts w:ascii="仿宋_GB2312" w:hAnsi="仿宋_GB2312" w:cs="仿宋_GB2312" w:eastAsia="仿宋_GB2312"/>
                <w:sz w:val="28"/>
              </w:rPr>
              <w:t>4、空气压缩机</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8"/>
              </w:rPr>
              <w:t>（一）参数</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8"/>
              </w:rPr>
              <w:t>适用范围：可用供应室清洗消毒设备等需要气源的点位。</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8"/>
              </w:rPr>
              <w:t>安全性：高温热保护，</w:t>
            </w:r>
            <w:r>
              <w:rPr>
                <w:rFonts w:ascii="仿宋_GB2312" w:hAnsi="仿宋_GB2312" w:cs="仿宋_GB2312" w:eastAsia="仿宋_GB2312"/>
                <w:sz w:val="28"/>
              </w:rPr>
              <w:t>主机</w:t>
            </w:r>
            <w:r>
              <w:rPr>
                <w:rFonts w:ascii="仿宋_GB2312" w:hAnsi="仿宋_GB2312" w:cs="仿宋_GB2312" w:eastAsia="仿宋_GB2312"/>
                <w:sz w:val="28"/>
              </w:rPr>
              <w:t>抗</w:t>
            </w:r>
            <w:r>
              <w:rPr>
                <w:rFonts w:ascii="仿宋_GB2312" w:hAnsi="仿宋_GB2312" w:cs="仿宋_GB2312" w:eastAsia="仿宋_GB2312"/>
                <w:sz w:val="28"/>
              </w:rPr>
              <w:t>静电，</w:t>
            </w:r>
            <w:r>
              <w:rPr>
                <w:rFonts w:ascii="仿宋_GB2312" w:hAnsi="仿宋_GB2312" w:cs="仿宋_GB2312" w:eastAsia="仿宋_GB2312"/>
                <w:sz w:val="28"/>
              </w:rPr>
              <w:t>具有</w:t>
            </w:r>
            <w:r>
              <w:rPr>
                <w:rFonts w:ascii="仿宋_GB2312" w:hAnsi="仿宋_GB2312" w:cs="仿宋_GB2312" w:eastAsia="仿宋_GB2312"/>
                <w:sz w:val="28"/>
              </w:rPr>
              <w:t>安全防护</w:t>
            </w:r>
            <w:r>
              <w:rPr>
                <w:rFonts w:ascii="仿宋_GB2312" w:hAnsi="仿宋_GB2312" w:cs="仿宋_GB2312" w:eastAsia="仿宋_GB2312"/>
                <w:sz w:val="28"/>
              </w:rPr>
              <w:t>措施</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8"/>
              </w:rPr>
              <w:t>排水：可定期排水</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8"/>
              </w:rPr>
              <w:t>稳定：持续恒压稳定气源</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8"/>
              </w:rPr>
              <w:t>气罐容积：</w:t>
            </w:r>
            <w:r>
              <w:rPr>
                <w:rFonts w:ascii="仿宋_GB2312" w:hAnsi="仿宋_GB2312" w:cs="仿宋_GB2312" w:eastAsia="仿宋_GB2312"/>
                <w:sz w:val="28"/>
              </w:rPr>
              <w:t>≥35 L</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8"/>
              </w:rPr>
              <w:t>噪音</w:t>
            </w:r>
            <w:r>
              <w:rPr>
                <w:rFonts w:ascii="仿宋_GB2312" w:hAnsi="仿宋_GB2312" w:cs="仿宋_GB2312" w:eastAsia="仿宋_GB2312"/>
                <w:sz w:val="28"/>
              </w:rPr>
              <w:t>(dB)：≤60 dB</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8"/>
              </w:rPr>
              <w:t>设计压力：</w:t>
            </w:r>
            <w:r>
              <w:rPr>
                <w:rFonts w:ascii="仿宋_GB2312" w:hAnsi="仿宋_GB2312" w:cs="仿宋_GB2312" w:eastAsia="仿宋_GB2312"/>
                <w:sz w:val="28"/>
              </w:rPr>
              <w:t>≥0.7Mpa</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8"/>
              </w:rPr>
              <w:t>（二）数量：</w:t>
            </w:r>
            <w:r>
              <w:rPr>
                <w:rFonts w:ascii="仿宋_GB2312" w:hAnsi="仿宋_GB2312" w:cs="仿宋_GB2312" w:eastAsia="仿宋_GB2312"/>
                <w:sz w:val="28"/>
              </w:rPr>
              <w:t>2台</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jc w:val="both"/>
            </w:pPr>
            <w:r>
              <w:rPr>
                <w:rFonts w:ascii="仿宋_GB2312" w:hAnsi="仿宋_GB2312" w:cs="仿宋_GB2312" w:eastAsia="仿宋_GB2312"/>
                <w:sz w:val="28"/>
              </w:rPr>
              <w:t>品目</w:t>
            </w:r>
            <w:r>
              <w:rPr>
                <w:rFonts w:ascii="仿宋_GB2312" w:hAnsi="仿宋_GB2312" w:cs="仿宋_GB2312" w:eastAsia="仿宋_GB2312"/>
                <w:sz w:val="28"/>
              </w:rPr>
              <w:t>5、空气压缩机（洁净气源）</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8"/>
              </w:rPr>
              <w:t>（一）参数</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适用范围：可用供应室清洗消毒设备等需要气源的点位</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8"/>
              </w:rPr>
              <w:t>安全性：高温热保护，主机抗静电，具有安全防护措施</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8"/>
              </w:rPr>
              <w:t>排水：可定期排水</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8"/>
              </w:rPr>
              <w:t>稳定：持续恒压稳定气源</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8"/>
              </w:rPr>
              <w:t>气罐容积：</w:t>
            </w:r>
            <w:r>
              <w:rPr>
                <w:rFonts w:ascii="仿宋_GB2312" w:hAnsi="仿宋_GB2312" w:cs="仿宋_GB2312" w:eastAsia="仿宋_GB2312"/>
                <w:sz w:val="28"/>
              </w:rPr>
              <w:t>≥35 L</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8"/>
              </w:rPr>
              <w:t>噪音</w:t>
            </w:r>
            <w:r>
              <w:rPr>
                <w:rFonts w:ascii="仿宋_GB2312" w:hAnsi="仿宋_GB2312" w:cs="仿宋_GB2312" w:eastAsia="仿宋_GB2312"/>
                <w:sz w:val="28"/>
              </w:rPr>
              <w:t>：≤60 dB</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8"/>
              </w:rPr>
              <w:t>设计压力：</w:t>
            </w:r>
            <w:r>
              <w:rPr>
                <w:rFonts w:ascii="仿宋_GB2312" w:hAnsi="仿宋_GB2312" w:cs="仿宋_GB2312" w:eastAsia="仿宋_GB2312"/>
                <w:sz w:val="28"/>
              </w:rPr>
              <w:t>≥0.7Mpa</w:t>
            </w: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洁净：设计有高精度过滤系统，过滤孔径</w:t>
            </w:r>
            <w:r>
              <w:rPr>
                <w:rFonts w:ascii="仿宋_GB2312" w:hAnsi="仿宋_GB2312" w:cs="仿宋_GB2312" w:eastAsia="仿宋_GB2312"/>
                <w:sz w:val="28"/>
              </w:rPr>
              <w:t>≤0.2μm</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8"/>
              </w:rPr>
              <w:t>（二）数量：</w:t>
            </w:r>
            <w:r>
              <w:rPr>
                <w:rFonts w:ascii="仿宋_GB2312" w:hAnsi="仿宋_GB2312" w:cs="仿宋_GB2312" w:eastAsia="仿宋_GB2312"/>
                <w:sz w:val="28"/>
              </w:rPr>
              <w:t>1台</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8"/>
              </w:rPr>
              <w:t>二、</w:t>
            </w:r>
            <w:r>
              <w:rPr>
                <w:rFonts w:ascii="仿宋_GB2312" w:hAnsi="仿宋_GB2312" w:cs="仿宋_GB2312" w:eastAsia="仿宋_GB2312"/>
                <w:sz w:val="28"/>
                <w:b/>
              </w:rPr>
              <w:t>技术及质量要求</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供应商</w:t>
            </w:r>
            <w:r>
              <w:rPr>
                <w:rFonts w:ascii="仿宋_GB2312" w:hAnsi="仿宋_GB2312" w:cs="仿宋_GB2312" w:eastAsia="仿宋_GB2312"/>
                <w:sz w:val="28"/>
              </w:rPr>
              <w:t>必须承诺其提供产品质量、符合国家</w:t>
            </w:r>
            <w:r>
              <w:rPr>
                <w:rFonts w:ascii="仿宋_GB2312" w:hAnsi="仿宋_GB2312" w:cs="仿宋_GB2312" w:eastAsia="仿宋_GB2312"/>
                <w:sz w:val="28"/>
              </w:rPr>
              <w:t>、</w:t>
            </w:r>
            <w:r>
              <w:rPr>
                <w:rFonts w:ascii="仿宋_GB2312" w:hAnsi="仿宋_GB2312" w:cs="仿宋_GB2312" w:eastAsia="仿宋_GB2312"/>
                <w:sz w:val="28"/>
              </w:rPr>
              <w:t>省市</w:t>
            </w:r>
            <w:r>
              <w:rPr>
                <w:rFonts w:ascii="仿宋_GB2312" w:hAnsi="仿宋_GB2312" w:cs="仿宋_GB2312" w:eastAsia="仿宋_GB2312"/>
                <w:sz w:val="28"/>
              </w:rPr>
              <w:t>有关规范</w:t>
            </w:r>
            <w:r>
              <w:rPr>
                <w:rFonts w:ascii="仿宋_GB2312" w:hAnsi="仿宋_GB2312" w:cs="仿宋_GB2312" w:eastAsia="仿宋_GB2312"/>
                <w:sz w:val="28"/>
              </w:rPr>
              <w:t>及行业规范</w:t>
            </w:r>
            <w:r>
              <w:rPr>
                <w:rFonts w:ascii="仿宋_GB2312" w:hAnsi="仿宋_GB2312" w:cs="仿宋_GB2312" w:eastAsia="仿宋_GB2312"/>
                <w:sz w:val="28"/>
              </w:rPr>
              <w:t>要求，确保达到最佳</w:t>
            </w:r>
            <w:r>
              <w:rPr>
                <w:rFonts w:ascii="仿宋_GB2312" w:hAnsi="仿宋_GB2312" w:cs="仿宋_GB2312" w:eastAsia="仿宋_GB2312"/>
                <w:sz w:val="28"/>
              </w:rPr>
              <w:t>使用</w:t>
            </w:r>
            <w:r>
              <w:rPr>
                <w:rFonts w:ascii="仿宋_GB2312" w:hAnsi="仿宋_GB2312" w:cs="仿宋_GB2312" w:eastAsia="仿宋_GB2312"/>
                <w:sz w:val="28"/>
              </w:rPr>
              <w:t>状态。对于由于产品设计、工艺或材料的缺陷而产生的质量问题</w:t>
            </w:r>
            <w:r>
              <w:rPr>
                <w:rFonts w:ascii="仿宋_GB2312" w:hAnsi="仿宋_GB2312" w:cs="仿宋_GB2312" w:eastAsia="仿宋_GB2312"/>
                <w:sz w:val="28"/>
              </w:rPr>
              <w:t>供应商应全权</w:t>
            </w:r>
            <w:r>
              <w:rPr>
                <w:rFonts w:ascii="仿宋_GB2312" w:hAnsi="仿宋_GB2312" w:cs="仿宋_GB2312" w:eastAsia="仿宋_GB2312"/>
                <w:sz w:val="28"/>
              </w:rPr>
              <w:t>负责。</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供应商</w:t>
            </w:r>
            <w:r>
              <w:rPr>
                <w:rFonts w:ascii="仿宋_GB2312" w:hAnsi="仿宋_GB2312" w:cs="仿宋_GB2312" w:eastAsia="仿宋_GB2312"/>
                <w:sz w:val="28"/>
              </w:rPr>
              <w:t>提供的货物必须有产品合格证或产品授权书。</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8"/>
              </w:rPr>
              <w:t>3、除非对包装另有规定，</w:t>
            </w:r>
            <w:r>
              <w:rPr>
                <w:rFonts w:ascii="仿宋_GB2312" w:hAnsi="仿宋_GB2312" w:cs="仿宋_GB2312" w:eastAsia="仿宋_GB2312"/>
                <w:sz w:val="28"/>
              </w:rPr>
              <w:t>供应商</w:t>
            </w:r>
            <w:r>
              <w:rPr>
                <w:rFonts w:ascii="仿宋_GB2312" w:hAnsi="仿宋_GB2312" w:cs="仿宋_GB2312" w:eastAsia="仿宋_GB2312"/>
                <w:sz w:val="28"/>
              </w:rPr>
              <w:t>提供的全部产品均应按标准保护措施进行包装。外包装完整无损，标识规范清楚。</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8"/>
              </w:rPr>
              <w:t>4、每一个包装箱内应附一份详细装箱单和质量检验报告书。包装、标记和包装箱内外的单据应符合合同的要求，包括</w:t>
            </w:r>
            <w:r>
              <w:rPr>
                <w:rFonts w:ascii="仿宋_GB2312" w:hAnsi="仿宋_GB2312" w:cs="仿宋_GB2312" w:eastAsia="仿宋_GB2312"/>
                <w:sz w:val="28"/>
              </w:rPr>
              <w:t>采购人</w:t>
            </w:r>
            <w:r>
              <w:rPr>
                <w:rFonts w:ascii="仿宋_GB2312" w:hAnsi="仿宋_GB2312" w:cs="仿宋_GB2312" w:eastAsia="仿宋_GB2312"/>
                <w:sz w:val="28"/>
              </w:rPr>
              <w:t>后来提出的特殊要求。</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供应商</w:t>
            </w:r>
            <w:r>
              <w:rPr>
                <w:rFonts w:ascii="仿宋_GB2312" w:hAnsi="仿宋_GB2312" w:cs="仿宋_GB2312" w:eastAsia="仿宋_GB2312"/>
                <w:sz w:val="28"/>
              </w:rPr>
              <w:t>应保证其提供的货物是全新的，未使用过的，符合合同规定的质量、规格、性能，并按照相关国际、国家及专业标准检验的合格产品。</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8"/>
              </w:rPr>
              <w:t>6、供应商</w:t>
            </w:r>
            <w:r>
              <w:rPr>
                <w:rFonts w:ascii="仿宋_GB2312" w:hAnsi="仿宋_GB2312" w:cs="仿宋_GB2312" w:eastAsia="仿宋_GB2312"/>
                <w:sz w:val="28"/>
              </w:rPr>
              <w:t>所供货物，若发生侵权而产生的一切后果，由</w:t>
            </w:r>
            <w:r>
              <w:rPr>
                <w:rFonts w:ascii="仿宋_GB2312" w:hAnsi="仿宋_GB2312" w:cs="仿宋_GB2312" w:eastAsia="仿宋_GB2312"/>
                <w:sz w:val="28"/>
              </w:rPr>
              <w:t>供应商</w:t>
            </w:r>
            <w:r>
              <w:rPr>
                <w:rFonts w:ascii="仿宋_GB2312" w:hAnsi="仿宋_GB2312" w:cs="仿宋_GB2312" w:eastAsia="仿宋_GB2312"/>
                <w:sz w:val="28"/>
              </w:rPr>
              <w:t>负责，</w:t>
            </w:r>
            <w:r>
              <w:rPr>
                <w:rFonts w:ascii="仿宋_GB2312" w:hAnsi="仿宋_GB2312" w:cs="仿宋_GB2312" w:eastAsia="仿宋_GB2312"/>
                <w:sz w:val="28"/>
              </w:rPr>
              <w:t>采购人</w:t>
            </w:r>
            <w:r>
              <w:rPr>
                <w:rFonts w:ascii="仿宋_GB2312" w:hAnsi="仿宋_GB2312" w:cs="仿宋_GB2312" w:eastAsia="仿宋_GB2312"/>
                <w:sz w:val="28"/>
              </w:rPr>
              <w:t>保留索赔权力。</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8"/>
                <w:b/>
              </w:rPr>
              <w:t>三、其他要求</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8"/>
              </w:rPr>
              <w:t>凡需要列入固定资产的，须开具货物类发票（税务系统清单式</w:t>
            </w:r>
            <w:r>
              <w:rPr>
                <w:rFonts w:ascii="仿宋_GB2312" w:hAnsi="仿宋_GB2312" w:cs="仿宋_GB2312" w:eastAsia="仿宋_GB2312"/>
                <w:sz w:val="28"/>
              </w:rPr>
              <w:t>发票）</w:t>
            </w:r>
            <w:r>
              <w:rPr>
                <w:rFonts w:ascii="仿宋_GB2312" w:hAnsi="仿宋_GB2312" w:cs="仿宋_GB2312" w:eastAsia="仿宋_GB2312"/>
                <w:sz w:val="28"/>
              </w:rPr>
              <w:t>，</w:t>
            </w:r>
            <w:r>
              <w:rPr>
                <w:rFonts w:ascii="仿宋_GB2312" w:hAnsi="仿宋_GB2312" w:cs="仿宋_GB2312" w:eastAsia="仿宋_GB2312"/>
                <w:sz w:val="28"/>
              </w:rPr>
              <w:t>否则无法付款，造成的法律与经济责任由中标方负责。（</w:t>
            </w:r>
            <w:r>
              <w:rPr>
                <w:rFonts w:ascii="仿宋_GB2312" w:hAnsi="仿宋_GB2312" w:cs="仿宋_GB2312" w:eastAsia="仿宋_GB2312"/>
                <w:sz w:val="28"/>
                <w:b/>
              </w:rPr>
              <w:t>注：</w:t>
            </w:r>
            <w:r>
              <w:rPr>
                <w:rFonts w:ascii="仿宋_GB2312" w:hAnsi="仿宋_GB2312" w:cs="仿宋_GB2312" w:eastAsia="仿宋_GB2312"/>
                <w:sz w:val="28"/>
              </w:rPr>
              <w:t>固定资产是指使用年限超过</w:t>
            </w:r>
            <w:r>
              <w:rPr>
                <w:rFonts w:ascii="仿宋_GB2312" w:hAnsi="仿宋_GB2312" w:cs="仿宋_GB2312" w:eastAsia="仿宋_GB2312"/>
                <w:sz w:val="28"/>
              </w:rPr>
              <w:t>1年(不含1年)、单位价值在1000元及以上(其中：</w:t>
            </w:r>
            <w:r>
              <w:rPr>
                <w:rFonts w:ascii="仿宋_GB2312" w:hAnsi="仿宋_GB2312" w:cs="仿宋_GB2312" w:eastAsia="仿宋_GB2312"/>
                <w:sz w:val="28"/>
              </w:rPr>
              <w:t>专业设备单位价值在</w:t>
            </w:r>
            <w:r>
              <w:rPr>
                <w:rFonts w:ascii="仿宋_GB2312" w:hAnsi="仿宋_GB2312" w:cs="仿宋_GB2312" w:eastAsia="仿宋_GB2312"/>
                <w:sz w:val="28"/>
              </w:rPr>
              <w:t>1500元及以上),并在使用过程中基本保持原有物质形态的资产，包括房屋和构筑物、设备、图书和档案、家具和用具等。单位价值虽未达到规定标准，但是使用年限超过1年(不含1年)的大批同类物资，如图书、家具、用具、装具等，应当确认为固定资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交付期：自合同签订之日起 45 个日历日内完成货物交付、安装及调试工作，不得延期。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合同签订后，甲方自收到等额增值税发票之日起10个工作日内，向乙方预付货物合同价款的40%（未收到预付款不影响乙方按照本合同约定的时限供货）</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所有货物到达甲方指定地点，乙方完成安装、调试，自检合格后，提交甲方进行第一次验收；甲方自第一次验收合格且收到发票之日起，一个月内无息支付验收合格产品对应合同价款的55%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货物第一次验收合格满两年后，进行二次验收，验收合格后无息支付验收合格产品对应合同价款的5%，若因乙方不能及时提供发票或乙方提供的发票不符合要求的，甲方付款期限相应顺延，且不承担任何责任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质保期：自供货安装调试、正常运行并验收合格之日起：提供 ≥ 1 年质保服务。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1、供应商提出验收申请之日起30日内组织验收。 2、付款条件：（1）合同签订后，甲方自收到等额增值税发票之日起10个工作日内，向乙方预付货物合同价款的40%（未收到预付款不影响乙方按照本合同约定的时限供货）；所有货物到达甲方指定地点，乙方完成安装、调试，自检合格后，提交甲方进行第一次验收；甲方自第一次验收合格且收到发票之日起，一个月内无息支付验收合格产品对应金额总价55%。 （2）货物第一次验收合格满两年后，进行二次验收，验收合格后无息支付验收合格产品对应金额总价5%。 （3）若因乙方不能及时提供发票或乙方提供的发票不符合要求的，甲方付款期限相应顺延，且不承担任何责任。 （4）银行转账。3、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5、中标供应商领取中标（成交）通知书时，向采购代理机构提供一正两副（和上传文件保持一致的）纸质投标（响应）文件用于备案及档案保存。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以及本人的社保缴纳证明（2025年1月以来任意一个月的社保资金缴纳证明材料，社保缴纳单位须为投标供应商），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 不合格，响应报价未超过采购预算或者最高限价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响应文件的签署、盖章不符合采购文件要求 不合格 ， 响应文件的签署、盖章符合采购文件要求 合格</w:t>
            </w:r>
          </w:p>
        </w:tc>
        <w:tc>
          <w:tcPr>
            <w:tcW w:type="dxa" w:w="1661"/>
          </w:tcPr>
          <w:p>
            <w:pPr>
              <w:pStyle w:val="null3"/>
            </w:pPr>
            <w:r>
              <w:rPr>
                <w:rFonts w:ascii="仿宋_GB2312" w:hAnsi="仿宋_GB2312" w:cs="仿宋_GB2312" w:eastAsia="仿宋_GB2312"/>
              </w:rPr>
              <w:t>响应文件封面 分项报价表.docx 供应商资格要求.docx 合同响应偏离表.docx 报价表 陕西省政府采购供货商拒绝政府采购领域商业贿赂承诺书.docx 参加政府采购活动行为自律承诺书（一）.docx 响应函 参加政府采购活动行为自律承诺书（二）.docx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响应文件无投标有效期或有效期达不到采购文件要求的 不合格 ， 响应文件有效期达到采购文件要求的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标★项</w:t>
            </w:r>
          </w:p>
        </w:tc>
        <w:tc>
          <w:tcPr>
            <w:tcW w:type="dxa" w:w="3322"/>
          </w:tcPr>
          <w:p>
            <w:pPr>
              <w:pStyle w:val="null3"/>
            </w:pPr>
            <w:r>
              <w:rPr>
                <w:rFonts w:ascii="仿宋_GB2312" w:hAnsi="仿宋_GB2312" w:cs="仿宋_GB2312" w:eastAsia="仿宋_GB2312"/>
              </w:rPr>
              <w:t>响应文件中标★项不满足采购文件第三章技术要求 不合格， 响应文件中标★项满足采购文件第三章技术要求 合格</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陕西省政府采购供货商拒绝政府采购领域商业贿赂承诺书</w:t>
            </w:r>
          </w:p>
        </w:tc>
        <w:tc>
          <w:tcPr>
            <w:tcW w:type="dxa" w:w="3322"/>
          </w:tcPr>
          <w:p>
            <w:pPr>
              <w:pStyle w:val="null3"/>
            </w:pPr>
            <w:r>
              <w:rPr>
                <w:rFonts w:ascii="仿宋_GB2312" w:hAnsi="仿宋_GB2312" w:cs="仿宋_GB2312" w:eastAsia="仿宋_GB2312"/>
              </w:rPr>
              <w:t>响应文件提供了合格的陕西省政府采购供货商拒绝政府采购领域商业贿赂承诺书（合格） 响应文件未提供或提供的陕西省政府采购供货商拒绝政府采购领域商业贿赂承诺书不合格（不合格）</w:t>
            </w:r>
          </w:p>
        </w:tc>
        <w:tc>
          <w:tcPr>
            <w:tcW w:type="dxa" w:w="1661"/>
          </w:tcPr>
          <w:p>
            <w:pPr>
              <w:pStyle w:val="null3"/>
            </w:pPr>
            <w:r>
              <w:rPr>
                <w:rFonts w:ascii="仿宋_GB2312" w:hAnsi="仿宋_GB2312" w:cs="仿宋_GB2312" w:eastAsia="仿宋_GB2312"/>
              </w:rPr>
              <w:t>陕西省政府采购供货商拒绝政府采购领域商业贿赂承诺书.docx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参加政府采购活动行为自律承诺书</w:t>
            </w:r>
          </w:p>
        </w:tc>
        <w:tc>
          <w:tcPr>
            <w:tcW w:type="dxa" w:w="3322"/>
          </w:tcPr>
          <w:p>
            <w:pPr>
              <w:pStyle w:val="null3"/>
            </w:pPr>
            <w:r>
              <w:rPr>
                <w:rFonts w:ascii="仿宋_GB2312" w:hAnsi="仿宋_GB2312" w:cs="仿宋_GB2312" w:eastAsia="仿宋_GB2312"/>
              </w:rPr>
              <w:t>响应文件提供了合格的参加政府采购活动行为自律承诺书（合格） 响应文件未提供或提供的参加政府采购活动行为自律承诺书不合格（不合格）</w:t>
            </w:r>
          </w:p>
        </w:tc>
        <w:tc>
          <w:tcPr>
            <w:tcW w:type="dxa" w:w="1661"/>
          </w:tcPr>
          <w:p>
            <w:pPr>
              <w:pStyle w:val="null3"/>
            </w:pPr>
            <w:r>
              <w:rPr>
                <w:rFonts w:ascii="仿宋_GB2312" w:hAnsi="仿宋_GB2312" w:cs="仿宋_GB2312" w:eastAsia="仿宋_GB2312"/>
              </w:rPr>
              <w:t>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不存在法律、法规和采购文件规定的其他无效情形 合格，存在法律、法规和采购文件规定的其他无效情形 不合格</w:t>
            </w:r>
          </w:p>
        </w:tc>
        <w:tc>
          <w:tcPr>
            <w:tcW w:type="dxa" w:w="1661"/>
          </w:tcPr>
          <w:p>
            <w:pPr>
              <w:pStyle w:val="null3"/>
            </w:pPr>
            <w:r>
              <w:rPr>
                <w:rFonts w:ascii="仿宋_GB2312" w:hAnsi="仿宋_GB2312" w:cs="仿宋_GB2312" w:eastAsia="仿宋_GB2312"/>
              </w:rPr>
              <w:t>供应商认为有必要说明的其他问题.docx 产品技术参数表.docx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根据供应商提供所投产品的技术指标进行评审，完全符合、响应招标文件要求，没有负偏离的得34分；无标识参数负偏离一项扣0.74分，扣完为止。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设备选型及质量保证</w:t>
            </w:r>
          </w:p>
        </w:tc>
        <w:tc>
          <w:tcPr>
            <w:tcW w:type="dxa" w:w="2492"/>
          </w:tcPr>
          <w:p>
            <w:pPr>
              <w:pStyle w:val="null3"/>
            </w:pPr>
            <w:r>
              <w:rPr>
                <w:rFonts w:ascii="仿宋_GB2312" w:hAnsi="仿宋_GB2312" w:cs="仿宋_GB2312" w:eastAsia="仿宋_GB2312"/>
              </w:rPr>
              <w:t>根据供应商提供的质量保证方案进行评审，该方案包含：①根据所投产品品牌与配置清单，设备配置先进、选型科学合理，从配置完整性、性能稳定性、兼容性、行业使用广泛性等方面描述（供应商须提供证明材料，包括但不限于所投设备产品优势、市场销售情况等）②产品品牌、型号、产地明确，备品配件供应有保障③产品性能、使用寿命及效果④质量保证措施⑤确保设备供应渠道正常、检验手续合法有效、无产权纠纷（供应商须提供证明材料，包括但不限于授权函、销售协议、代理协议等）。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设备选型及质量保证.docx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该方案包含：①质量保证期限及质量保证的范围承诺；②生产厂商售后服务承诺；③售后服务保障措施；④售后人员配置安排计划；⑤故障处理响应时间。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提供供应商2022年10月1日至今同类项目业绩。每提供1份得1分，最高得5分。 备注：业绩证明材料须提供完整合同 （时间以合同签订日期为准）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详见附件：设备选型及质量保证.docx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