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F9624">
      <w:pPr>
        <w:pStyle w:val="17"/>
        <w:jc w:val="center"/>
        <w:outlineLvl w:val="1"/>
        <w:rPr>
          <w:rFonts w:hint="eastAsia" w:ascii="宋体" w:hAnsi="宋体" w:eastAsia="宋体" w:cs="宋体"/>
        </w:rPr>
      </w:pPr>
      <w:bookmarkStart w:id="2" w:name="_GoBack"/>
      <w:bookmarkEnd w:id="2"/>
      <w:r>
        <w:rPr>
          <w:rFonts w:hint="eastAsia" w:ascii="宋体" w:hAnsi="宋体" w:eastAsia="宋体" w:cs="宋体"/>
          <w:b/>
          <w:sz w:val="36"/>
        </w:rPr>
        <w:t>拟签订合同文本</w:t>
      </w:r>
    </w:p>
    <w:p w14:paraId="5E8AACDF">
      <w:pPr>
        <w:spacing w:before="91" w:line="624" w:lineRule="exact"/>
        <w:ind w:left="0" w:leftChars="0" w:firstLine="0" w:firstLineChars="0"/>
        <w:rPr>
          <w:rFonts w:hint="eastAsia" w:ascii="宋体" w:hAnsi="宋体" w:eastAsia="宋体" w:cs="宋体"/>
          <w:b/>
          <w:sz w:val="36"/>
        </w:rPr>
      </w:pPr>
    </w:p>
    <w:p w14:paraId="6EC90660">
      <w:pPr>
        <w:spacing w:before="91" w:line="624" w:lineRule="exact"/>
        <w:ind w:left="0" w:leftChars="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position w:val="26"/>
          <w:sz w:val="32"/>
          <w:szCs w:val="32"/>
        </w:rPr>
        <w:t>项目名称：</w:t>
      </w:r>
    </w:p>
    <w:p w14:paraId="4CDC2C35">
      <w:pPr>
        <w:spacing w:before="91" w:line="624" w:lineRule="exact"/>
        <w:ind w:left="0" w:leftChars="0" w:firstLine="0" w:firstLineChars="0"/>
        <w:rPr>
          <w:rFonts w:hint="default" w:ascii="仿宋_GB2312" w:hAnsi="仿宋_GB2312" w:eastAsia="仿宋_GB2312" w:cs="仿宋_GB2312"/>
          <w:b/>
          <w:bCs/>
          <w:position w:val="26"/>
          <w:sz w:val="32"/>
          <w:szCs w:val="32"/>
          <w:lang w:val="en-US" w:eastAsia="zh-CN"/>
        </w:rPr>
      </w:pPr>
      <w:r>
        <w:rPr>
          <w:rFonts w:hint="eastAsia" w:ascii="仿宋_GB2312" w:hAnsi="仿宋_GB2312" w:eastAsia="仿宋_GB2312" w:cs="仿宋_GB2312"/>
          <w:b/>
          <w:bCs/>
          <w:position w:val="26"/>
          <w:sz w:val="32"/>
          <w:szCs w:val="32"/>
        </w:rPr>
        <w:t>项目编号：</w:t>
      </w:r>
    </w:p>
    <w:p w14:paraId="6A66D462">
      <w:pPr>
        <w:pStyle w:val="3"/>
        <w:spacing w:line="267" w:lineRule="auto"/>
        <w:rPr>
          <w:rFonts w:hint="eastAsia" w:ascii="方正小标宋简体" w:hAnsi="方正小标宋简体" w:eastAsia="方正小标宋简体" w:cs="方正小标宋简体"/>
          <w:b/>
          <w:bCs/>
          <w:sz w:val="44"/>
          <w:szCs w:val="44"/>
        </w:rPr>
      </w:pPr>
    </w:p>
    <w:p w14:paraId="2156AE37">
      <w:pPr>
        <w:spacing w:before="140" w:line="936" w:lineRule="exact"/>
        <w:ind w:left="665"/>
        <w:rPr>
          <w:rFonts w:hint="eastAsia" w:ascii="方正小标宋简体" w:hAnsi="方正小标宋简体" w:eastAsia="方正小标宋简体" w:cs="方正小标宋简体"/>
          <w:b/>
          <w:bCs/>
          <w:spacing w:val="9"/>
          <w:position w:val="37"/>
          <w:sz w:val="44"/>
          <w:szCs w:val="44"/>
        </w:rPr>
      </w:pPr>
      <w:bookmarkStart w:id="0" w:name="bookmark6"/>
      <w:bookmarkEnd w:id="0"/>
      <w:bookmarkStart w:id="1" w:name="bookmark5"/>
      <w:bookmarkEnd w:id="1"/>
    </w:p>
    <w:p w14:paraId="4A565DD9">
      <w:pPr>
        <w:spacing w:before="140" w:line="936" w:lineRule="exact"/>
        <w:ind w:left="0" w:leftChars="0" w:firstLine="919" w:firstLineChars="200"/>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pacing w:val="9"/>
          <w:position w:val="37"/>
          <w:sz w:val="44"/>
          <w:szCs w:val="44"/>
        </w:rPr>
        <w:t>西安市人民医院（西安市第四医院）</w:t>
      </w:r>
    </w:p>
    <w:p w14:paraId="75D703EB">
      <w:pPr>
        <w:spacing w:before="1" w:line="222" w:lineRule="auto"/>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pacing w:val="6"/>
          <w:sz w:val="44"/>
          <w:szCs w:val="44"/>
          <w:lang w:val="en-US" w:eastAsia="zh-CN"/>
        </w:rPr>
        <w:t>采购</w:t>
      </w:r>
      <w:r>
        <w:rPr>
          <w:rFonts w:hint="eastAsia" w:ascii="方正小标宋简体" w:hAnsi="方正小标宋简体" w:eastAsia="方正小标宋简体" w:cs="方正小标宋简体"/>
          <w:b/>
          <w:bCs/>
          <w:spacing w:val="6"/>
          <w:sz w:val="44"/>
          <w:szCs w:val="44"/>
        </w:rPr>
        <w:t>合同</w:t>
      </w:r>
      <w:r>
        <w:rPr>
          <w:rFonts w:hint="eastAsia" w:ascii="方正小标宋简体" w:hAnsi="方正小标宋简体" w:eastAsia="方正小标宋简体" w:cs="方正小标宋简体"/>
          <w:b/>
          <w:bCs/>
          <w:spacing w:val="6"/>
          <w:sz w:val="44"/>
          <w:szCs w:val="44"/>
          <w:lang w:eastAsia="zh-CN"/>
        </w:rPr>
        <w:t>（</w:t>
      </w:r>
      <w:r>
        <w:rPr>
          <w:rFonts w:hint="eastAsia" w:ascii="方正小标宋简体" w:hAnsi="方正小标宋简体" w:eastAsia="方正小标宋简体" w:cs="方正小标宋简体"/>
          <w:b/>
          <w:bCs/>
          <w:spacing w:val="6"/>
          <w:sz w:val="44"/>
          <w:szCs w:val="44"/>
          <w:lang w:val="en-US" w:eastAsia="zh-CN"/>
        </w:rPr>
        <w:t>草案</w:t>
      </w:r>
      <w:r>
        <w:rPr>
          <w:rFonts w:hint="eastAsia" w:ascii="方正小标宋简体" w:hAnsi="方正小标宋简体" w:eastAsia="方正小标宋简体" w:cs="方正小标宋简体"/>
          <w:b/>
          <w:bCs/>
          <w:spacing w:val="6"/>
          <w:sz w:val="44"/>
          <w:szCs w:val="44"/>
          <w:lang w:eastAsia="zh-CN"/>
        </w:rPr>
        <w:t>）</w:t>
      </w:r>
    </w:p>
    <w:p w14:paraId="5D68E6CA">
      <w:pPr>
        <w:pStyle w:val="3"/>
        <w:ind w:left="0" w:leftChars="0" w:firstLine="0" w:firstLineChars="0"/>
        <w:rPr>
          <w:rFonts w:hint="eastAsia" w:ascii="仿宋_GB2312" w:hAnsi="仿宋_GB2312" w:eastAsia="仿宋_GB2312" w:cs="仿宋_GB2312"/>
          <w:b/>
          <w:bCs/>
          <w:sz w:val="32"/>
          <w:szCs w:val="32"/>
        </w:rPr>
      </w:pPr>
    </w:p>
    <w:p w14:paraId="0A8346E7">
      <w:pPr>
        <w:pStyle w:val="3"/>
        <w:rPr>
          <w:rFonts w:hint="eastAsia" w:ascii="仿宋_GB2312" w:hAnsi="仿宋_GB2312" w:eastAsia="仿宋_GB2312" w:cs="仿宋_GB2312"/>
          <w:b/>
          <w:bCs/>
          <w:sz w:val="32"/>
          <w:szCs w:val="32"/>
        </w:rPr>
      </w:pPr>
    </w:p>
    <w:p w14:paraId="709D3663">
      <w:pPr>
        <w:spacing w:before="91" w:line="780" w:lineRule="exact"/>
        <w:rPr>
          <w:rFonts w:hint="eastAsia" w:ascii="仿宋_GB2312" w:hAnsi="仿宋_GB2312" w:eastAsia="仿宋_GB2312" w:cs="仿宋_GB2312"/>
          <w:b/>
          <w:bCs/>
          <w:spacing w:val="-3"/>
          <w:position w:val="38"/>
          <w:sz w:val="32"/>
          <w:szCs w:val="32"/>
        </w:rPr>
      </w:pPr>
    </w:p>
    <w:p w14:paraId="08B12C08">
      <w:pPr>
        <w:pStyle w:val="2"/>
        <w:rPr>
          <w:rFonts w:hint="eastAsia"/>
        </w:rPr>
      </w:pPr>
    </w:p>
    <w:p w14:paraId="7A4924BE">
      <w:pPr>
        <w:spacing w:before="91" w:line="780" w:lineRule="exact"/>
        <w:ind w:left="1460"/>
        <w:rPr>
          <w:rFonts w:hint="eastAsia" w:ascii="仿宋_GB2312" w:hAnsi="仿宋_GB2312" w:eastAsia="仿宋_GB2312" w:cs="仿宋_GB2312"/>
          <w:b/>
          <w:bCs/>
          <w:spacing w:val="-3"/>
          <w:position w:val="38"/>
          <w:sz w:val="32"/>
          <w:szCs w:val="32"/>
        </w:rPr>
      </w:pPr>
    </w:p>
    <w:p w14:paraId="502BE63F">
      <w:pPr>
        <w:spacing w:before="91" w:line="780" w:lineRule="exact"/>
        <w:ind w:firstLine="1576" w:firstLineChars="500"/>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3"/>
          <w:position w:val="38"/>
          <w:sz w:val="32"/>
          <w:szCs w:val="32"/>
        </w:rPr>
        <w:t>甲</w:t>
      </w:r>
      <w:r>
        <w:rPr>
          <w:rFonts w:hint="eastAsia" w:ascii="仿宋_GB2312" w:hAnsi="仿宋_GB2312" w:eastAsia="仿宋_GB2312" w:cs="仿宋_GB2312"/>
          <w:b/>
          <w:bCs/>
          <w:spacing w:val="-3"/>
          <w:position w:val="38"/>
          <w:sz w:val="32"/>
          <w:szCs w:val="32"/>
          <w:lang w:val="en-US" w:eastAsia="zh-CN"/>
        </w:rPr>
        <w:t xml:space="preserve">  </w:t>
      </w:r>
      <w:r>
        <w:rPr>
          <w:rFonts w:hint="eastAsia" w:ascii="仿宋_GB2312" w:hAnsi="仿宋_GB2312" w:eastAsia="仿宋_GB2312" w:cs="仿宋_GB2312"/>
          <w:b/>
          <w:bCs/>
          <w:spacing w:val="-3"/>
          <w:position w:val="38"/>
          <w:sz w:val="32"/>
          <w:szCs w:val="32"/>
        </w:rPr>
        <w:t>方：西安市人民医院（西安市第四医院）</w:t>
      </w:r>
    </w:p>
    <w:p w14:paraId="001792A6">
      <w:pPr>
        <w:spacing w:before="91" w:line="780" w:lineRule="exact"/>
        <w:ind w:firstLine="1576" w:firstLineChars="500"/>
        <w:rPr>
          <w:rFonts w:hint="eastAsia" w:ascii="仿宋_GB2312" w:hAnsi="仿宋_GB2312" w:eastAsia="仿宋_GB2312" w:cs="仿宋_GB2312"/>
          <w:b/>
          <w:bCs/>
          <w:sz w:val="44"/>
          <w:szCs w:val="44"/>
          <w:highlight w:val="none"/>
        </w:rPr>
      </w:pPr>
      <w:r>
        <w:rPr>
          <w:rFonts w:hint="eastAsia" w:ascii="仿宋_GB2312" w:hAnsi="仿宋_GB2312" w:eastAsia="仿宋_GB2312" w:cs="仿宋_GB2312"/>
          <w:b/>
          <w:bCs/>
          <w:spacing w:val="-3"/>
          <w:position w:val="38"/>
          <w:sz w:val="32"/>
          <w:szCs w:val="32"/>
        </w:rPr>
        <w:t>乙</w:t>
      </w:r>
      <w:r>
        <w:rPr>
          <w:rFonts w:hint="eastAsia" w:ascii="仿宋_GB2312" w:hAnsi="仿宋_GB2312" w:eastAsia="仿宋_GB2312" w:cs="仿宋_GB2312"/>
          <w:b/>
          <w:bCs/>
          <w:spacing w:val="-3"/>
          <w:position w:val="38"/>
          <w:sz w:val="32"/>
          <w:szCs w:val="32"/>
          <w:lang w:val="en-US" w:eastAsia="zh-CN"/>
        </w:rPr>
        <w:t xml:space="preserve">  </w:t>
      </w:r>
      <w:r>
        <w:rPr>
          <w:rFonts w:hint="eastAsia" w:ascii="仿宋_GB2312" w:hAnsi="仿宋_GB2312" w:eastAsia="仿宋_GB2312" w:cs="仿宋_GB2312"/>
          <w:b/>
          <w:bCs/>
          <w:spacing w:val="-3"/>
          <w:position w:val="38"/>
          <w:sz w:val="32"/>
          <w:szCs w:val="32"/>
        </w:rPr>
        <w:t>方：</w:t>
      </w:r>
    </w:p>
    <w:p w14:paraId="0A5E0330">
      <w:pPr>
        <w:rPr>
          <w:rFonts w:hint="eastAsia" w:ascii="仿宋_GB2312" w:hAnsi="仿宋_GB2312" w:eastAsia="仿宋_GB2312" w:cs="仿宋_GB2312"/>
          <w:color w:val="000000"/>
          <w:sz w:val="32"/>
          <w:szCs w:val="32"/>
        </w:rPr>
      </w:pPr>
    </w:p>
    <w:p w14:paraId="3546A2C4">
      <w:pPr>
        <w:jc w:val="center"/>
        <w:rPr>
          <w:rFonts w:hint="eastAsia" w:ascii="仿宋_GB2312" w:hAnsi="仿宋_GB2312" w:eastAsia="仿宋_GB2312" w:cs="仿宋_GB2312"/>
          <w:b/>
          <w:color w:val="000000"/>
          <w:sz w:val="44"/>
          <w:szCs w:val="44"/>
          <w:lang w:val="en-US" w:eastAsia="zh-CN"/>
        </w:rPr>
      </w:pPr>
      <w:r>
        <w:rPr>
          <w:rFonts w:hint="eastAsia" w:ascii="仿宋_GB2312" w:hAnsi="仿宋_GB2312" w:eastAsia="仿宋_GB2312" w:cs="仿宋_GB2312"/>
          <w:color w:val="000000"/>
          <w:sz w:val="32"/>
          <w:szCs w:val="32"/>
        </w:rPr>
        <w:t>中国  西安</w:t>
      </w:r>
    </w:p>
    <w:p w14:paraId="1248BF09">
      <w:pPr>
        <w:spacing w:before="312" w:beforeLines="100" w:after="312" w:afterLines="100" w:line="580" w:lineRule="exact"/>
        <w:jc w:val="center"/>
        <w:rPr>
          <w:rFonts w:hint="eastAsia" w:ascii="仿宋_GB2312" w:hAnsi="仿宋_GB2312" w:eastAsia="仿宋_GB2312" w:cs="仿宋_GB2312"/>
          <w:b/>
          <w:color w:val="000000"/>
          <w:sz w:val="44"/>
          <w:szCs w:val="44"/>
          <w:lang w:val="en-US" w:eastAsia="zh-CN"/>
        </w:rPr>
        <w:sectPr>
          <w:headerReference r:id="rId3" w:type="default"/>
          <w:footerReference r:id="rId4" w:type="default"/>
          <w:pgSz w:w="11906" w:h="16838"/>
          <w:pgMar w:top="1383" w:right="1800" w:bottom="1383"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F80AF33">
      <w:pPr>
        <w:spacing w:before="312" w:beforeLines="100" w:after="312" w:afterLines="100" w:line="580" w:lineRule="exact"/>
        <w:jc w:val="center"/>
        <w:rPr>
          <w:rFonts w:hint="eastAsia" w:ascii="仿宋_GB2312" w:hAnsi="仿宋_GB2312" w:eastAsia="仿宋_GB2312" w:cs="仿宋_GB2312"/>
          <w:b/>
          <w:color w:val="000000"/>
          <w:sz w:val="44"/>
          <w:szCs w:val="44"/>
          <w:lang w:val="en-US" w:eastAsia="zh-CN"/>
        </w:rPr>
      </w:pPr>
      <w:r>
        <w:rPr>
          <w:rFonts w:hint="eastAsia" w:ascii="仿宋_GB2312" w:hAnsi="仿宋_GB2312" w:eastAsia="仿宋_GB2312" w:cs="仿宋_GB2312"/>
          <w:b/>
          <w:color w:val="000000"/>
          <w:sz w:val="44"/>
          <w:szCs w:val="44"/>
          <w:lang w:val="en-US" w:eastAsia="zh-CN"/>
        </w:rPr>
        <w:t>采 购</w:t>
      </w:r>
      <w:r>
        <w:rPr>
          <w:rFonts w:hint="eastAsia" w:ascii="仿宋_GB2312" w:hAnsi="仿宋_GB2312" w:eastAsia="仿宋_GB2312" w:cs="仿宋_GB2312"/>
          <w:b/>
          <w:color w:val="000000"/>
          <w:sz w:val="44"/>
          <w:szCs w:val="44"/>
        </w:rPr>
        <w:t xml:space="preserve"> 合 同</w:t>
      </w:r>
      <w:r>
        <w:rPr>
          <w:rFonts w:hint="eastAsia" w:ascii="仿宋_GB2312" w:hAnsi="仿宋_GB2312" w:eastAsia="仿宋_GB2312" w:cs="仿宋_GB2312"/>
          <w:b/>
          <w:color w:val="000000"/>
          <w:sz w:val="44"/>
          <w:szCs w:val="44"/>
          <w:lang w:eastAsia="zh-CN"/>
        </w:rPr>
        <w:t>（</w:t>
      </w:r>
      <w:r>
        <w:rPr>
          <w:rFonts w:hint="eastAsia" w:ascii="仿宋_GB2312" w:hAnsi="仿宋_GB2312" w:eastAsia="仿宋_GB2312" w:cs="仿宋_GB2312"/>
          <w:b/>
          <w:color w:val="000000"/>
          <w:sz w:val="44"/>
          <w:szCs w:val="44"/>
          <w:lang w:val="en-US" w:eastAsia="zh-CN"/>
        </w:rPr>
        <w:t>草案</w:t>
      </w:r>
      <w:r>
        <w:rPr>
          <w:rFonts w:hint="eastAsia" w:ascii="仿宋_GB2312" w:hAnsi="仿宋_GB2312" w:eastAsia="仿宋_GB2312" w:cs="仿宋_GB2312"/>
          <w:b/>
          <w:color w:val="000000"/>
          <w:sz w:val="44"/>
          <w:szCs w:val="44"/>
          <w:lang w:eastAsia="zh-CN"/>
        </w:rPr>
        <w:t>）</w:t>
      </w:r>
    </w:p>
    <w:p w14:paraId="37D62ECF">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甲方：西安市人民医院（西安市第四医院） </w:t>
      </w:r>
    </w:p>
    <w:p w14:paraId="18D25E4A">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乙方：</w:t>
      </w:r>
    </w:p>
    <w:p w14:paraId="2BB539F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甲方所需服务，按照采购程序，确定乙方为成交供应商。依据《中华人民共和国政府采购法》及实施条例、《中华人民共和国民法典》、成交供应商响应文件正本、成交通知书，经甲、乙双方协商，达成如下条款。</w:t>
      </w:r>
    </w:p>
    <w:p w14:paraId="4AA011AF">
      <w:pPr>
        <w:keepNext w:val="0"/>
        <w:keepLines w:val="0"/>
        <w:pageBreakBefore w:val="0"/>
        <w:kinsoku/>
        <w:wordWrap/>
        <w:overflowPunct/>
        <w:topLinePunct w:val="0"/>
        <w:bidi w:val="0"/>
        <w:adjustRightInd/>
        <w:spacing w:line="48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一、</w:t>
      </w:r>
      <w:r>
        <w:rPr>
          <w:rFonts w:hint="eastAsia" w:ascii="仿宋_GB2312" w:hAnsi="仿宋_GB2312" w:eastAsia="仿宋_GB2312" w:cs="仿宋_GB2312"/>
          <w:b/>
          <w:bCs/>
          <w:color w:val="000000"/>
          <w:sz w:val="28"/>
          <w:szCs w:val="28"/>
        </w:rPr>
        <w:t>合同标的物内容及数量（以投标文件正本和澄清表〈函〉为准）</w:t>
      </w:r>
    </w:p>
    <w:p w14:paraId="1A33D215">
      <w:pPr>
        <w:keepNext w:val="0"/>
        <w:keepLines w:val="0"/>
        <w:pageBreakBefore w:val="0"/>
        <w:widowControl w:val="0"/>
        <w:numPr>
          <w:ilvl w:val="0"/>
          <w:numId w:val="0"/>
        </w:numPr>
        <w:tabs>
          <w:tab w:val="left" w:pos="480"/>
        </w:tabs>
        <w:kinsoku/>
        <w:wordWrap/>
        <w:overflowPunct/>
        <w:topLinePunct w:val="0"/>
        <w:bidi w:val="0"/>
        <w:adjustRightInd/>
        <w:snapToGrid/>
        <w:spacing w:line="440" w:lineRule="exact"/>
        <w:ind w:firstLine="560" w:firstLineChars="200"/>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lang w:eastAsia="zh-CN"/>
        </w:rPr>
        <w:t>）合同总价</w:t>
      </w:r>
    </w:p>
    <w:tbl>
      <w:tblPr>
        <w:tblStyle w:val="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2124"/>
        <w:gridCol w:w="2130"/>
        <w:gridCol w:w="3486"/>
      </w:tblGrid>
      <w:tr w14:paraId="1EDA5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4" w:type="dxa"/>
            <w:noWrap w:val="0"/>
            <w:vAlign w:val="top"/>
          </w:tcPr>
          <w:p w14:paraId="3D88D90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序号</w:t>
            </w:r>
          </w:p>
        </w:tc>
        <w:tc>
          <w:tcPr>
            <w:tcW w:w="2124" w:type="dxa"/>
            <w:noWrap w:val="0"/>
            <w:vAlign w:val="top"/>
          </w:tcPr>
          <w:p w14:paraId="3DE5B979">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名称</w:t>
            </w:r>
          </w:p>
        </w:tc>
        <w:tc>
          <w:tcPr>
            <w:tcW w:w="2130" w:type="dxa"/>
            <w:noWrap w:val="0"/>
            <w:vAlign w:val="top"/>
          </w:tcPr>
          <w:p w14:paraId="1E01093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数量</w:t>
            </w:r>
          </w:p>
        </w:tc>
        <w:tc>
          <w:tcPr>
            <w:tcW w:w="3486" w:type="dxa"/>
            <w:noWrap w:val="0"/>
            <w:vAlign w:val="top"/>
          </w:tcPr>
          <w:p w14:paraId="3A0C666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合同总价（</w:t>
            </w:r>
            <w:r>
              <w:rPr>
                <w:rFonts w:hint="eastAsia" w:ascii="仿宋_GB2312" w:hAnsi="仿宋_GB2312" w:eastAsia="仿宋_GB2312" w:cs="仿宋_GB2312"/>
                <w:sz w:val="28"/>
                <w:szCs w:val="28"/>
                <w:lang w:val="en-US" w:eastAsia="zh-CN"/>
              </w:rPr>
              <w:t>元</w:t>
            </w:r>
            <w:r>
              <w:rPr>
                <w:rFonts w:hint="eastAsia" w:ascii="仿宋_GB2312" w:hAnsi="仿宋_GB2312" w:eastAsia="仿宋_GB2312" w:cs="仿宋_GB2312"/>
                <w:sz w:val="28"/>
                <w:szCs w:val="28"/>
                <w:lang w:eastAsia="zh-CN"/>
              </w:rPr>
              <w:t>）</w:t>
            </w:r>
          </w:p>
          <w:p w14:paraId="48F39F59">
            <w:pPr>
              <w:pStyle w:val="3"/>
              <w:keepNext w:val="0"/>
              <w:keepLines w:val="0"/>
              <w:pageBreakBefore w:val="0"/>
              <w:widowControl w:val="0"/>
              <w:tabs>
                <w:tab w:val="left" w:pos="567"/>
              </w:tabs>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vertAlign w:val="baseline"/>
                <w:lang w:val="en-US" w:eastAsia="zh-CN"/>
              </w:rPr>
              <w:t>（小写）</w:t>
            </w:r>
          </w:p>
        </w:tc>
      </w:tr>
      <w:tr w14:paraId="12AF8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14" w:type="dxa"/>
            <w:noWrap w:val="0"/>
            <w:vAlign w:val="top"/>
          </w:tcPr>
          <w:p w14:paraId="4A0765E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w:t>
            </w:r>
          </w:p>
        </w:tc>
        <w:tc>
          <w:tcPr>
            <w:tcW w:w="2124" w:type="dxa"/>
            <w:noWrap w:val="0"/>
            <w:vAlign w:val="top"/>
          </w:tcPr>
          <w:p w14:paraId="49C45FE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仿宋_GB2312" w:hAnsi="仿宋_GB2312" w:eastAsia="仿宋_GB2312" w:cs="仿宋_GB2312"/>
                <w:sz w:val="28"/>
                <w:szCs w:val="28"/>
                <w:vertAlign w:val="baseline"/>
                <w:lang w:val="en-US" w:eastAsia="zh-CN"/>
              </w:rPr>
            </w:pPr>
          </w:p>
        </w:tc>
        <w:tc>
          <w:tcPr>
            <w:tcW w:w="2130" w:type="dxa"/>
            <w:noWrap w:val="0"/>
            <w:vAlign w:val="top"/>
          </w:tcPr>
          <w:p w14:paraId="1252E6B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w:t>
            </w:r>
          </w:p>
        </w:tc>
        <w:tc>
          <w:tcPr>
            <w:tcW w:w="3486" w:type="dxa"/>
            <w:noWrap w:val="0"/>
            <w:vAlign w:val="top"/>
          </w:tcPr>
          <w:p w14:paraId="5EB2A31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仿宋_GB2312" w:hAnsi="仿宋_GB2312" w:eastAsia="仿宋_GB2312" w:cs="仿宋_GB2312"/>
                <w:sz w:val="28"/>
                <w:szCs w:val="28"/>
                <w:vertAlign w:val="baseline"/>
                <w:lang w:val="en-US" w:eastAsia="zh-CN"/>
              </w:rPr>
            </w:pPr>
          </w:p>
        </w:tc>
      </w:tr>
      <w:tr w14:paraId="76CF3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754" w:type="dxa"/>
            <w:gridSpan w:val="4"/>
            <w:noWrap w:val="0"/>
            <w:vAlign w:val="top"/>
          </w:tcPr>
          <w:p w14:paraId="0FDC99E3">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eastAsia="zh-CN"/>
              </w:rPr>
              <w:t>合同总价：人民币（</w:t>
            </w:r>
            <w:r>
              <w:rPr>
                <w:rFonts w:hint="eastAsia" w:ascii="仿宋_GB2312" w:hAnsi="仿宋_GB2312" w:eastAsia="仿宋_GB2312" w:cs="仿宋_GB2312"/>
                <w:sz w:val="28"/>
                <w:szCs w:val="28"/>
                <w:vertAlign w:val="baseline"/>
                <w:lang w:val="en-US" w:eastAsia="zh-CN"/>
              </w:rPr>
              <w:t>大写</w:t>
            </w:r>
            <w:r>
              <w:rPr>
                <w:rFonts w:hint="eastAsia" w:ascii="仿宋_GB2312" w:hAnsi="仿宋_GB2312" w:eastAsia="仿宋_GB2312" w:cs="仿宋_GB2312"/>
                <w:sz w:val="28"/>
                <w:szCs w:val="28"/>
                <w:vertAlign w:val="baseline"/>
                <w:lang w:eastAsia="zh-CN"/>
              </w:rPr>
              <w:t>）</w:t>
            </w:r>
          </w:p>
        </w:tc>
      </w:tr>
    </w:tbl>
    <w:p w14:paraId="62E41B45">
      <w:pPr>
        <w:keepNext w:val="0"/>
        <w:keepLines w:val="0"/>
        <w:pageBreakBefore w:val="0"/>
        <w:numPr>
          <w:ilvl w:val="0"/>
          <w:numId w:val="1"/>
        </w:numPr>
        <w:kinsoku/>
        <w:wordWrap/>
        <w:overflowPunct/>
        <w:topLinePunct w:val="0"/>
        <w:autoSpaceDE/>
        <w:autoSpaceDN/>
        <w:bidi w:val="0"/>
        <w:adjustRightInd/>
        <w:snapToGrid/>
        <w:spacing w:after="156" w:afterLines="50" w:line="480" w:lineRule="exac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分类明细及单价</w:t>
      </w:r>
    </w:p>
    <w:tbl>
      <w:tblPr>
        <w:tblStyle w:val="19"/>
        <w:tblW w:w="800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1"/>
        <w:gridCol w:w="1378"/>
        <w:gridCol w:w="711"/>
        <w:gridCol w:w="1239"/>
        <w:gridCol w:w="1275"/>
        <w:gridCol w:w="1387"/>
        <w:gridCol w:w="1015"/>
      </w:tblGrid>
      <w:tr w14:paraId="146F6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001" w:type="dxa"/>
            <w:noWrap w:val="0"/>
            <w:vAlign w:val="center"/>
          </w:tcPr>
          <w:p w14:paraId="44C16D2C">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1378" w:type="dxa"/>
            <w:noWrap w:val="0"/>
            <w:vAlign w:val="center"/>
          </w:tcPr>
          <w:p w14:paraId="033074E4">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名称</w:t>
            </w:r>
          </w:p>
        </w:tc>
        <w:tc>
          <w:tcPr>
            <w:tcW w:w="711" w:type="dxa"/>
            <w:noWrap w:val="0"/>
            <w:vAlign w:val="center"/>
          </w:tcPr>
          <w:p w14:paraId="5D575827">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单位</w:t>
            </w:r>
          </w:p>
        </w:tc>
        <w:tc>
          <w:tcPr>
            <w:tcW w:w="1239" w:type="dxa"/>
            <w:noWrap w:val="0"/>
            <w:vAlign w:val="center"/>
          </w:tcPr>
          <w:p w14:paraId="4686A92D">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规格型号</w:t>
            </w:r>
          </w:p>
        </w:tc>
        <w:tc>
          <w:tcPr>
            <w:tcW w:w="1275" w:type="dxa"/>
            <w:noWrap w:val="0"/>
            <w:vAlign w:val="center"/>
          </w:tcPr>
          <w:p w14:paraId="0E991AFA">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品牌</w:t>
            </w:r>
          </w:p>
        </w:tc>
        <w:tc>
          <w:tcPr>
            <w:tcW w:w="1387" w:type="dxa"/>
            <w:noWrap w:val="0"/>
            <w:vAlign w:val="center"/>
          </w:tcPr>
          <w:p w14:paraId="5CCD1121">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制造商</w:t>
            </w:r>
          </w:p>
        </w:tc>
        <w:tc>
          <w:tcPr>
            <w:tcW w:w="1015" w:type="dxa"/>
            <w:noWrap w:val="0"/>
            <w:vAlign w:val="center"/>
          </w:tcPr>
          <w:p w14:paraId="0A0B781D">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单价</w:t>
            </w:r>
          </w:p>
          <w:p w14:paraId="38B20EA7">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（元）</w:t>
            </w:r>
          </w:p>
        </w:tc>
      </w:tr>
      <w:tr w14:paraId="0DBB5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1001" w:type="dxa"/>
            <w:noWrap w:val="0"/>
            <w:vAlign w:val="center"/>
          </w:tcPr>
          <w:p w14:paraId="1D6E66B2">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1378" w:type="dxa"/>
            <w:noWrap w:val="0"/>
            <w:vAlign w:val="center"/>
          </w:tcPr>
          <w:p w14:paraId="2C3C1C10">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711" w:type="dxa"/>
            <w:noWrap w:val="0"/>
            <w:vAlign w:val="center"/>
          </w:tcPr>
          <w:p w14:paraId="067BC5B0">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1239" w:type="dxa"/>
            <w:noWrap w:val="0"/>
            <w:vAlign w:val="center"/>
          </w:tcPr>
          <w:p w14:paraId="5F177077">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1275" w:type="dxa"/>
            <w:noWrap w:val="0"/>
            <w:vAlign w:val="center"/>
          </w:tcPr>
          <w:p w14:paraId="1CD71752">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1387" w:type="dxa"/>
            <w:noWrap w:val="0"/>
            <w:vAlign w:val="center"/>
          </w:tcPr>
          <w:p w14:paraId="2EEBC046">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c>
          <w:tcPr>
            <w:tcW w:w="1015" w:type="dxa"/>
            <w:noWrap w:val="0"/>
            <w:vAlign w:val="center"/>
          </w:tcPr>
          <w:p w14:paraId="716A3EA1">
            <w:pPr>
              <w:pStyle w:val="18"/>
              <w:widowControl w:val="0"/>
              <w:spacing w:line="240" w:lineRule="auto"/>
              <w:ind w:firstLine="0" w:firstLineChars="0"/>
              <w:jc w:val="center"/>
              <w:rPr>
                <w:rFonts w:hint="eastAsia" w:ascii="仿宋_GB2312" w:hAnsi="仿宋_GB2312" w:eastAsia="仿宋_GB2312" w:cs="仿宋_GB2312"/>
                <w:color w:val="auto"/>
                <w:sz w:val="24"/>
                <w:szCs w:val="24"/>
                <w:highlight w:val="none"/>
                <w:lang w:val="en-US" w:eastAsia="zh-CN"/>
              </w:rPr>
            </w:pPr>
          </w:p>
        </w:tc>
      </w:tr>
    </w:tbl>
    <w:p w14:paraId="53008EC7">
      <w:pPr>
        <w:keepNext w:val="0"/>
        <w:keepLines w:val="0"/>
        <w:pageBreakBefore w:val="0"/>
        <w:kinsoku/>
        <w:wordWrap/>
        <w:overflowPunct/>
        <w:topLinePunct w:val="0"/>
        <w:autoSpaceDE/>
        <w:autoSpaceDN/>
        <w:bidi w:val="0"/>
        <w:adjustRightInd/>
        <w:snapToGrid/>
        <w:spacing w:line="500" w:lineRule="exac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三</w:t>
      </w:r>
      <w:r>
        <w:rPr>
          <w:rFonts w:hint="eastAsia" w:ascii="仿宋_GB2312" w:hAnsi="仿宋_GB2312" w:eastAsia="仿宋_GB2312" w:cs="仿宋_GB2312"/>
          <w:b w:val="0"/>
          <w:bCs w:val="0"/>
          <w:sz w:val="28"/>
          <w:szCs w:val="28"/>
        </w:rPr>
        <w:t>）技术及质量要求</w:t>
      </w:r>
    </w:p>
    <w:p w14:paraId="6272FC72">
      <w:pPr>
        <w:keepNext w:val="0"/>
        <w:keepLines w:val="0"/>
        <w:pageBreakBefore w:val="0"/>
        <w:kinsoku/>
        <w:wordWrap/>
        <w:overflowPunct/>
        <w:topLinePunct w:val="0"/>
        <w:autoSpaceDE/>
        <w:autoSpaceDN/>
        <w:bidi w:val="0"/>
        <w:adjustRightInd/>
        <w:snapToGrid/>
        <w:spacing w:line="50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lang w:eastAsia="zh-CN"/>
        </w:rPr>
        <w:t>乙方</w:t>
      </w:r>
      <w:r>
        <w:rPr>
          <w:rFonts w:hint="eastAsia" w:ascii="仿宋_GB2312" w:hAnsi="仿宋_GB2312" w:eastAsia="仿宋_GB2312" w:cs="仿宋_GB2312"/>
          <w:b w:val="0"/>
          <w:bCs w:val="0"/>
          <w:sz w:val="28"/>
          <w:szCs w:val="28"/>
        </w:rPr>
        <w:t>必须承诺其提供产品质量、技术参数符合国家及行业标准。</w:t>
      </w:r>
    </w:p>
    <w:p w14:paraId="103A81AE">
      <w:pPr>
        <w:keepNext w:val="0"/>
        <w:keepLines w:val="0"/>
        <w:pageBreakBefore w:val="0"/>
        <w:kinsoku/>
        <w:wordWrap/>
        <w:overflowPunct/>
        <w:topLinePunct w:val="0"/>
        <w:autoSpaceDE/>
        <w:autoSpaceDN/>
        <w:bidi w:val="0"/>
        <w:adjustRightInd/>
        <w:snapToGrid/>
        <w:spacing w:line="50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lang w:eastAsia="zh-CN"/>
        </w:rPr>
        <w:t>乙方</w:t>
      </w:r>
      <w:r>
        <w:rPr>
          <w:rFonts w:hint="eastAsia" w:ascii="仿宋_GB2312" w:hAnsi="仿宋_GB2312" w:eastAsia="仿宋_GB2312" w:cs="仿宋_GB2312"/>
          <w:b w:val="0"/>
          <w:bCs w:val="0"/>
          <w:sz w:val="28"/>
          <w:szCs w:val="28"/>
        </w:rPr>
        <w:t>提供的货物必须有产品合格证或产品授权书。</w:t>
      </w:r>
    </w:p>
    <w:p w14:paraId="632A0CB6">
      <w:pPr>
        <w:keepNext w:val="0"/>
        <w:keepLines w:val="0"/>
        <w:pageBreakBefore w:val="0"/>
        <w:kinsoku/>
        <w:wordWrap/>
        <w:overflowPunct/>
        <w:topLinePunct w:val="0"/>
        <w:autoSpaceDE/>
        <w:autoSpaceDN/>
        <w:bidi w:val="0"/>
        <w:adjustRightInd/>
        <w:snapToGrid/>
        <w:spacing w:line="50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3、除非对包装另有规定，</w:t>
      </w:r>
      <w:r>
        <w:rPr>
          <w:rFonts w:hint="eastAsia" w:ascii="仿宋_GB2312" w:hAnsi="仿宋_GB2312" w:eastAsia="仿宋_GB2312" w:cs="仿宋_GB2312"/>
          <w:b w:val="0"/>
          <w:bCs w:val="0"/>
          <w:sz w:val="28"/>
          <w:szCs w:val="28"/>
          <w:lang w:eastAsia="zh-CN"/>
        </w:rPr>
        <w:t>乙方</w:t>
      </w:r>
      <w:r>
        <w:rPr>
          <w:rFonts w:hint="eastAsia" w:ascii="仿宋_GB2312" w:hAnsi="仿宋_GB2312" w:eastAsia="仿宋_GB2312" w:cs="仿宋_GB2312"/>
          <w:b w:val="0"/>
          <w:bCs w:val="0"/>
          <w:sz w:val="28"/>
          <w:szCs w:val="28"/>
        </w:rPr>
        <w:t>提供的全部产品均应按标准保护措施进行包装。外包装完整无损，标识规范清楚。</w:t>
      </w:r>
    </w:p>
    <w:p w14:paraId="03EBFF18">
      <w:pPr>
        <w:keepNext w:val="0"/>
        <w:keepLines w:val="0"/>
        <w:pageBreakBefore w:val="0"/>
        <w:kinsoku/>
        <w:wordWrap/>
        <w:overflowPunct/>
        <w:topLinePunct w:val="0"/>
        <w:autoSpaceDE/>
        <w:autoSpaceDN/>
        <w:bidi w:val="0"/>
        <w:adjustRightInd/>
        <w:snapToGrid/>
        <w:spacing w:line="50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4、每一个包装箱内应附一份详细装箱单和质量检验报告书。包装、标记和包装箱内外的单据应符合合同的要求，包括</w:t>
      </w:r>
      <w:r>
        <w:rPr>
          <w:rFonts w:hint="eastAsia" w:ascii="仿宋_GB2312" w:hAnsi="仿宋_GB2312" w:eastAsia="仿宋_GB2312" w:cs="仿宋_GB2312"/>
          <w:b w:val="0"/>
          <w:bCs w:val="0"/>
          <w:sz w:val="28"/>
          <w:szCs w:val="28"/>
          <w:lang w:eastAsia="zh-CN"/>
        </w:rPr>
        <w:t>甲方</w:t>
      </w:r>
      <w:r>
        <w:rPr>
          <w:rFonts w:hint="eastAsia" w:ascii="仿宋_GB2312" w:hAnsi="仿宋_GB2312" w:eastAsia="仿宋_GB2312" w:cs="仿宋_GB2312"/>
          <w:b w:val="0"/>
          <w:bCs w:val="0"/>
          <w:sz w:val="28"/>
          <w:szCs w:val="28"/>
        </w:rPr>
        <w:t>后来提出的特殊要求。</w:t>
      </w:r>
    </w:p>
    <w:p w14:paraId="50A83F9E">
      <w:pPr>
        <w:keepNext w:val="0"/>
        <w:keepLines w:val="0"/>
        <w:pageBreakBefore w:val="0"/>
        <w:kinsoku/>
        <w:wordWrap/>
        <w:overflowPunct/>
        <w:topLinePunct w:val="0"/>
        <w:autoSpaceDE/>
        <w:autoSpaceDN/>
        <w:bidi w:val="0"/>
        <w:adjustRightInd/>
        <w:snapToGrid/>
        <w:spacing w:line="50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5、</w:t>
      </w:r>
      <w:r>
        <w:rPr>
          <w:rFonts w:hint="eastAsia" w:ascii="仿宋_GB2312" w:hAnsi="仿宋_GB2312" w:eastAsia="仿宋_GB2312" w:cs="仿宋_GB2312"/>
          <w:b w:val="0"/>
          <w:bCs w:val="0"/>
          <w:sz w:val="28"/>
          <w:szCs w:val="28"/>
          <w:lang w:eastAsia="zh-CN"/>
        </w:rPr>
        <w:t>乙方</w:t>
      </w:r>
      <w:r>
        <w:rPr>
          <w:rFonts w:hint="eastAsia" w:ascii="仿宋_GB2312" w:hAnsi="仿宋_GB2312" w:eastAsia="仿宋_GB2312" w:cs="仿宋_GB2312"/>
          <w:b w:val="0"/>
          <w:bCs w:val="0"/>
          <w:sz w:val="28"/>
          <w:szCs w:val="28"/>
        </w:rPr>
        <w:t>应保证其提供的货物是全新的，未使用过的，符合合同规定的质量、规格、性能，并按照相关国际、国家及专业标准检验的合格产品。</w:t>
      </w:r>
    </w:p>
    <w:p w14:paraId="16F1B2FE">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二、质保期</w:t>
      </w:r>
    </w:p>
    <w:p w14:paraId="7766DA0A">
      <w:pPr>
        <w:keepNext w:val="0"/>
        <w:keepLines w:val="0"/>
        <w:pageBreakBefore w:val="0"/>
        <w:kinsoku/>
        <w:wordWrap/>
        <w:overflowPunct/>
        <w:topLinePunct w:val="0"/>
        <w:bidi w:val="0"/>
        <w:adjustRightInd/>
        <w:spacing w:line="500" w:lineRule="exact"/>
        <w:ind w:firstLine="529" w:firstLineChars="189"/>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每批次自验收合格之日算起，提供</w:t>
      </w:r>
      <w:r>
        <w:rPr>
          <w:rFonts w:hint="eastAsia" w:ascii="仿宋_GB2312" w:hAnsi="仿宋_GB2312" w:eastAsia="仿宋_GB2312" w:cs="仿宋_GB2312"/>
          <w:b w:val="0"/>
          <w:bCs w:val="0"/>
          <w:color w:val="000000"/>
          <w:sz w:val="28"/>
          <w:szCs w:val="28"/>
          <w:u w:val="single"/>
          <w:lang w:val="en-US" w:eastAsia="zh-CN"/>
        </w:rPr>
        <w:t xml:space="preserve">  </w:t>
      </w:r>
      <w:r>
        <w:rPr>
          <w:rFonts w:hint="eastAsia" w:ascii="仿宋_GB2312" w:hAnsi="仿宋_GB2312" w:eastAsia="仿宋_GB2312" w:cs="仿宋_GB2312"/>
          <w:b w:val="0"/>
          <w:bCs w:val="0"/>
          <w:color w:val="000000"/>
          <w:sz w:val="28"/>
          <w:szCs w:val="28"/>
        </w:rPr>
        <w:t>年的保修及上门服务。</w:t>
      </w:r>
    </w:p>
    <w:p w14:paraId="320204F0">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三、交付条件</w:t>
      </w:r>
    </w:p>
    <w:p w14:paraId="6E3A16B9">
      <w:pPr>
        <w:keepNext w:val="0"/>
        <w:keepLines w:val="0"/>
        <w:pageBreakBefore w:val="0"/>
        <w:widowControl w:val="0"/>
        <w:tabs>
          <w:tab w:val="left" w:pos="1155"/>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（一）交付地点：甲方指定地点</w:t>
      </w:r>
    </w:p>
    <w:p w14:paraId="3780401F">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（二）交付期：自甲方通知之日起</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u w:val="single"/>
          <w:lang w:val="en-US" w:eastAsia="zh-CN"/>
        </w:rPr>
        <w:t xml:space="preserve"> 日历日</w:t>
      </w:r>
      <w:r>
        <w:rPr>
          <w:rFonts w:hint="eastAsia" w:ascii="仿宋_GB2312" w:hAnsi="仿宋_GB2312" w:eastAsia="仿宋_GB2312" w:cs="仿宋_GB2312"/>
          <w:b w:val="0"/>
          <w:bCs w:val="0"/>
          <w:sz w:val="28"/>
          <w:szCs w:val="28"/>
        </w:rPr>
        <w:t>内完成货物交付、安装及调试工作</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不得延期</w:t>
      </w:r>
      <w:r>
        <w:rPr>
          <w:rFonts w:hint="eastAsia" w:ascii="仿宋_GB2312" w:hAnsi="仿宋_GB2312" w:eastAsia="仿宋_GB2312" w:cs="仿宋_GB2312"/>
          <w:b w:val="0"/>
          <w:bCs w:val="0"/>
          <w:sz w:val="28"/>
          <w:szCs w:val="28"/>
        </w:rPr>
        <w:t>。</w:t>
      </w:r>
    </w:p>
    <w:p w14:paraId="542AFD4C">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四、合同总价</w:t>
      </w:r>
    </w:p>
    <w:p w14:paraId="4EBE4B29">
      <w:pPr>
        <w:keepNext w:val="0"/>
        <w:keepLines w:val="0"/>
        <w:pageBreakBefore w:val="0"/>
        <w:tabs>
          <w:tab w:val="left" w:pos="480"/>
        </w:tabs>
        <w:kinsoku/>
        <w:wordWrap/>
        <w:overflowPunct/>
        <w:topLinePunct w:val="0"/>
        <w:bidi w:val="0"/>
        <w:adjustRightInd/>
        <w:spacing w:line="500" w:lineRule="exact"/>
        <w:ind w:firstLine="560" w:firstLineChars="200"/>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（一）合同总价</w:t>
      </w:r>
      <w:r>
        <w:rPr>
          <w:rFonts w:hint="eastAsia" w:ascii="仿宋_GB2312" w:hAnsi="仿宋_GB2312" w:eastAsia="仿宋_GB2312" w:cs="仿宋_GB2312"/>
          <w:b w:val="0"/>
          <w:bCs w:val="0"/>
          <w:color w:val="000000"/>
          <w:sz w:val="28"/>
          <w:szCs w:val="28"/>
          <w:lang w:eastAsia="zh-CN"/>
        </w:rPr>
        <w:t>：</w:t>
      </w:r>
      <w:r>
        <w:rPr>
          <w:rFonts w:hint="eastAsia" w:ascii="仿宋_GB2312" w:hAnsi="仿宋_GB2312" w:eastAsia="仿宋_GB2312" w:cs="仿宋_GB2312"/>
          <w:b w:val="0"/>
          <w:bCs w:val="0"/>
          <w:color w:val="000000"/>
          <w:sz w:val="28"/>
          <w:szCs w:val="28"/>
        </w:rPr>
        <w:t>人民币：（小写</w:t>
      </w:r>
      <w:r>
        <w:rPr>
          <w:rFonts w:hint="eastAsia" w:ascii="仿宋_GB2312" w:hAnsi="仿宋_GB2312" w:eastAsia="仿宋_GB2312" w:cs="仿宋_GB2312"/>
          <w:b w:val="0"/>
          <w:bCs w:val="0"/>
          <w:color w:val="000000"/>
          <w:sz w:val="28"/>
          <w:szCs w:val="28"/>
          <w:lang w:eastAsia="zh-CN"/>
        </w:rPr>
        <w:t>）</w:t>
      </w:r>
      <w:r>
        <w:rPr>
          <w:rFonts w:hint="eastAsia" w:ascii="仿宋_GB2312" w:hAnsi="仿宋_GB2312" w:eastAsia="仿宋_GB2312" w:cs="仿宋_GB2312"/>
          <w:b w:val="0"/>
          <w:bCs w:val="0"/>
          <w:color w:val="000000"/>
          <w:sz w:val="28"/>
          <w:szCs w:val="28"/>
          <w:lang w:val="en-US" w:eastAsia="zh-CN"/>
        </w:rPr>
        <w:t>（大写）</w:t>
      </w:r>
    </w:p>
    <w:p w14:paraId="2DD9217F">
      <w:pPr>
        <w:keepNext w:val="0"/>
        <w:keepLines w:val="0"/>
        <w:pageBreakBefore w:val="0"/>
        <w:widowControl w:val="0"/>
        <w:tabs>
          <w:tab w:val="left" w:pos="480"/>
        </w:tabs>
        <w:kinsoku/>
        <w:wordWrap/>
        <w:overflowPunct/>
        <w:topLinePunct w:val="0"/>
        <w:autoSpaceDE w:val="0"/>
        <w:autoSpaceDN w:val="0"/>
        <w:bidi w:val="0"/>
        <w:adjustRightInd w:val="0"/>
        <w:spacing w:line="44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（二）合同总价包括：软硬件供应费、运杂费、安装费、人工费、检测费、调试费、验收、税费等其它乙方履行合同义务所需的全部费用。</w:t>
      </w:r>
    </w:p>
    <w:p w14:paraId="71DBBD44">
      <w:pPr>
        <w:keepNext w:val="0"/>
        <w:keepLines w:val="0"/>
        <w:pageBreakBefore w:val="0"/>
        <w:widowControl w:val="0"/>
        <w:tabs>
          <w:tab w:val="left" w:pos="480"/>
        </w:tabs>
        <w:kinsoku/>
        <w:wordWrap/>
        <w:overflowPunct/>
        <w:topLinePunct w:val="0"/>
        <w:autoSpaceDE w:val="0"/>
        <w:autoSpaceDN w:val="0"/>
        <w:bidi w:val="0"/>
        <w:adjustRightInd w:val="0"/>
        <w:spacing w:line="44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（三）合同金额一次性包死，不受市场价格变化等因素的影响。</w:t>
      </w:r>
    </w:p>
    <w:p w14:paraId="6CBEAF93">
      <w:pPr>
        <w:pStyle w:val="2"/>
        <w:keepNext w:val="0"/>
        <w:keepLines w:val="0"/>
        <w:pageBreakBefore w:val="0"/>
        <w:widowControl w:val="0"/>
        <w:kinsoku/>
        <w:wordWrap/>
        <w:overflowPunct/>
        <w:topLinePunct w:val="0"/>
        <w:bidi w:val="0"/>
        <w:spacing w:after="0" w:line="440" w:lineRule="exact"/>
        <w:ind w:firstLine="560" w:firstLineChars="200"/>
        <w:rPr>
          <w:rFonts w:hint="eastAsia" w:eastAsia="仿宋_GB2312"/>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四</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sz w:val="28"/>
          <w:szCs w:val="28"/>
          <w:highlight w:val="none"/>
        </w:rPr>
        <w:t>凡需要列入固定资产的，须开具货物类发票（税务系统清单式发票）</w:t>
      </w:r>
      <w:r>
        <w:rPr>
          <w:rFonts w:hint="eastAsia" w:ascii="仿宋_GB2312" w:hAnsi="仿宋_GB2312" w:eastAsia="仿宋_GB2312" w:cs="仿宋_GB2312"/>
          <w:color w:val="FF0000"/>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否则无法付款，造成的法律与经济责任由乙方负责。（</w:t>
      </w:r>
      <w:r>
        <w:rPr>
          <w:rFonts w:hint="eastAsia" w:ascii="仿宋_GB2312" w:hAnsi="仿宋_GB2312" w:eastAsia="仿宋_GB2312" w:cs="仿宋_GB2312"/>
          <w:b/>
          <w:bCs/>
          <w:color w:val="auto"/>
          <w:sz w:val="28"/>
          <w:szCs w:val="28"/>
          <w:highlight w:val="none"/>
          <w:lang w:val="en-US" w:eastAsia="zh-CN"/>
        </w:rPr>
        <w:t>注：</w:t>
      </w:r>
      <w:r>
        <w:rPr>
          <w:rFonts w:hint="eastAsia" w:ascii="仿宋_GB2312" w:hAnsi="仿宋_GB2312" w:eastAsia="仿宋_GB2312" w:cs="仿宋_GB2312"/>
          <w:color w:val="auto"/>
          <w:sz w:val="28"/>
          <w:szCs w:val="28"/>
          <w:highlight w:val="none"/>
          <w:lang w:val="en-US" w:eastAsia="zh-CN"/>
        </w:rPr>
        <w:t>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也视为固定资产。）</w:t>
      </w:r>
    </w:p>
    <w:p w14:paraId="38825955">
      <w:pPr>
        <w:keepNext w:val="0"/>
        <w:keepLines w:val="0"/>
        <w:pageBreakBefore w:val="0"/>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五、款项结算：</w:t>
      </w:r>
    </w:p>
    <w:p w14:paraId="2E071D7D">
      <w:pPr>
        <w:keepNext w:val="0"/>
        <w:keepLines w:val="0"/>
        <w:pageBreakBefore w:val="0"/>
        <w:widowControl w:val="0"/>
        <w:tabs>
          <w:tab w:val="left" w:pos="480"/>
        </w:tabs>
        <w:kinsoku/>
        <w:wordWrap/>
        <w:overflowPunct/>
        <w:topLinePunct w:val="0"/>
        <w:autoSpaceDE/>
        <w:autoSpaceDN/>
        <w:bidi w:val="0"/>
        <w:adjustRightInd/>
        <w:snapToGrid/>
        <w:spacing w:beforeLines="0" w:afterLines="0" w:line="500" w:lineRule="exact"/>
        <w:ind w:firstLine="560" w:firstLineChars="200"/>
        <w:textAlignment w:val="auto"/>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（一）付款方式：</w:t>
      </w:r>
    </w:p>
    <w:p w14:paraId="7CECDBCE">
      <w:pPr>
        <w:keepNext w:val="0"/>
        <w:keepLines w:val="0"/>
        <w:pageBreakBefore w:val="0"/>
        <w:widowControl w:val="0"/>
        <w:tabs>
          <w:tab w:val="left" w:pos="480"/>
        </w:tabs>
        <w:kinsoku/>
        <w:wordWrap/>
        <w:overflowPunct/>
        <w:topLinePunct w:val="0"/>
        <w:autoSpaceDE/>
        <w:autoSpaceDN/>
        <w:bidi w:val="0"/>
        <w:adjustRightInd/>
        <w:snapToGrid/>
        <w:spacing w:beforeLines="0" w:afterLines="0" w:line="500" w:lineRule="exact"/>
        <w:ind w:firstLine="560" w:firstLineChars="200"/>
        <w:textAlignment w:val="auto"/>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auto"/>
          <w:sz w:val="28"/>
          <w:szCs w:val="28"/>
        </w:rPr>
        <w:t>（1）合同签订后，</w:t>
      </w:r>
      <w:r>
        <w:rPr>
          <w:rFonts w:hint="eastAsia" w:ascii="仿宋_GB2312" w:hAnsi="仿宋_GB2312" w:eastAsia="仿宋_GB2312" w:cs="仿宋_GB2312"/>
          <w:b w:val="0"/>
          <w:bCs w:val="0"/>
          <w:color w:val="auto"/>
          <w:sz w:val="28"/>
          <w:szCs w:val="28"/>
          <w:lang w:val="en-US" w:eastAsia="zh-CN"/>
        </w:rPr>
        <w:t>甲方</w:t>
      </w:r>
      <w:r>
        <w:rPr>
          <w:rFonts w:hint="eastAsia" w:ascii="仿宋_GB2312" w:hAnsi="仿宋_GB2312" w:eastAsia="仿宋_GB2312" w:cs="仿宋_GB2312"/>
          <w:b w:val="0"/>
          <w:bCs w:val="0"/>
          <w:color w:val="auto"/>
          <w:sz w:val="28"/>
          <w:szCs w:val="28"/>
        </w:rPr>
        <w:t>自</w:t>
      </w:r>
      <w:r>
        <w:rPr>
          <w:rFonts w:hint="eastAsia" w:ascii="仿宋_GB2312" w:hAnsi="仿宋_GB2312" w:eastAsia="仿宋_GB2312" w:cs="仿宋_GB2312"/>
          <w:b w:val="0"/>
          <w:bCs w:val="0"/>
          <w:color w:val="auto"/>
          <w:sz w:val="28"/>
          <w:szCs w:val="28"/>
          <w:lang w:val="en-US" w:eastAsia="zh-CN"/>
        </w:rPr>
        <w:t>收</w:t>
      </w:r>
      <w:r>
        <w:rPr>
          <w:rFonts w:hint="eastAsia" w:ascii="仿宋_GB2312" w:hAnsi="仿宋_GB2312" w:eastAsia="仿宋_GB2312" w:cs="仿宋_GB2312"/>
          <w:b w:val="0"/>
          <w:bCs w:val="0"/>
          <w:color w:val="auto"/>
          <w:sz w:val="28"/>
          <w:szCs w:val="28"/>
        </w:rPr>
        <w:t>到等额增值税发票之日起10日内，向</w:t>
      </w:r>
      <w:r>
        <w:rPr>
          <w:rFonts w:hint="eastAsia" w:ascii="仿宋_GB2312" w:hAnsi="仿宋_GB2312" w:eastAsia="仿宋_GB2312" w:cs="仿宋_GB2312"/>
          <w:b w:val="0"/>
          <w:bCs w:val="0"/>
          <w:color w:val="auto"/>
          <w:sz w:val="28"/>
          <w:szCs w:val="28"/>
          <w:lang w:val="en-US" w:eastAsia="zh-CN"/>
        </w:rPr>
        <w:t>乙方</w:t>
      </w:r>
      <w:r>
        <w:rPr>
          <w:rFonts w:hint="eastAsia" w:ascii="仿宋_GB2312" w:hAnsi="仿宋_GB2312" w:eastAsia="仿宋_GB2312" w:cs="仿宋_GB2312"/>
          <w:b w:val="0"/>
          <w:bCs w:val="0"/>
          <w:color w:val="auto"/>
          <w:sz w:val="28"/>
          <w:szCs w:val="28"/>
        </w:rPr>
        <w:t>预</w:t>
      </w:r>
      <w:r>
        <w:rPr>
          <w:rFonts w:hint="eastAsia" w:ascii="仿宋_GB2312" w:hAnsi="仿宋_GB2312" w:eastAsia="仿宋_GB2312" w:cs="仿宋_GB2312"/>
          <w:b w:val="0"/>
          <w:bCs w:val="0"/>
          <w:color w:val="auto"/>
          <w:sz w:val="28"/>
          <w:szCs w:val="28"/>
          <w:highlight w:val="none"/>
        </w:rPr>
        <w:t>付</w:t>
      </w:r>
      <w:r>
        <w:rPr>
          <w:rFonts w:hint="eastAsia" w:ascii="仿宋_GB2312" w:hAnsi="仿宋_GB2312" w:eastAsia="仿宋_GB2312" w:cs="仿宋_GB2312"/>
          <w:b w:val="0"/>
          <w:bCs w:val="0"/>
          <w:color w:val="auto"/>
          <w:sz w:val="28"/>
          <w:szCs w:val="28"/>
          <w:highlight w:val="none"/>
          <w:lang w:eastAsia="zh-CN"/>
        </w:rPr>
        <w:t>合同</w:t>
      </w:r>
      <w:r>
        <w:rPr>
          <w:rFonts w:hint="eastAsia" w:ascii="仿宋_GB2312" w:hAnsi="仿宋_GB2312" w:eastAsia="仿宋_GB2312" w:cs="仿宋_GB2312"/>
          <w:b w:val="0"/>
          <w:bCs w:val="0"/>
          <w:color w:val="auto"/>
          <w:sz w:val="28"/>
          <w:szCs w:val="28"/>
          <w:highlight w:val="none"/>
          <w:lang w:val="en-US" w:eastAsia="zh-CN"/>
        </w:rPr>
        <w:t>价款</w:t>
      </w:r>
      <w:r>
        <w:rPr>
          <w:rFonts w:hint="eastAsia" w:ascii="仿宋_GB2312" w:hAnsi="仿宋_GB2312" w:eastAsia="仿宋_GB2312" w:cs="仿宋_GB2312"/>
          <w:b w:val="0"/>
          <w:bCs w:val="0"/>
          <w:color w:val="auto"/>
          <w:sz w:val="28"/>
          <w:szCs w:val="28"/>
          <w:highlight w:val="none"/>
        </w:rPr>
        <w:t>的</w:t>
      </w:r>
      <w:r>
        <w:rPr>
          <w:rFonts w:hint="eastAsia" w:ascii="仿宋_GB2312" w:hAnsi="仿宋_GB2312" w:eastAsia="仿宋_GB2312" w:cs="仿宋_GB2312"/>
          <w:b w:val="0"/>
          <w:bCs w:val="0"/>
          <w:color w:val="auto"/>
          <w:sz w:val="28"/>
          <w:szCs w:val="28"/>
        </w:rPr>
        <w:t>40%（未收到预付款不影响</w:t>
      </w:r>
      <w:r>
        <w:rPr>
          <w:rFonts w:hint="eastAsia" w:ascii="仿宋_GB2312" w:hAnsi="仿宋_GB2312" w:eastAsia="仿宋_GB2312" w:cs="仿宋_GB2312"/>
          <w:b w:val="0"/>
          <w:bCs w:val="0"/>
          <w:color w:val="auto"/>
          <w:sz w:val="28"/>
          <w:szCs w:val="28"/>
          <w:lang w:val="en-US" w:eastAsia="zh-CN"/>
        </w:rPr>
        <w:t>供应商</w:t>
      </w:r>
      <w:r>
        <w:rPr>
          <w:rFonts w:hint="eastAsia" w:ascii="仿宋_GB2312" w:hAnsi="仿宋_GB2312" w:eastAsia="仿宋_GB2312" w:cs="仿宋_GB2312"/>
          <w:b w:val="0"/>
          <w:bCs w:val="0"/>
          <w:color w:val="auto"/>
          <w:sz w:val="28"/>
          <w:szCs w:val="28"/>
        </w:rPr>
        <w:t>按照本合同约定的时限供货）</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项目</w:t>
      </w:r>
      <w:r>
        <w:rPr>
          <w:rFonts w:hint="eastAsia" w:ascii="仿宋_GB2312" w:hAnsi="仿宋_GB2312" w:eastAsia="仿宋_GB2312" w:cs="仿宋_GB2312"/>
          <w:b w:val="0"/>
          <w:bCs w:val="0"/>
          <w:color w:val="auto"/>
          <w:sz w:val="28"/>
          <w:szCs w:val="28"/>
        </w:rPr>
        <w:t>所有货物到达</w:t>
      </w:r>
      <w:r>
        <w:rPr>
          <w:rFonts w:hint="eastAsia" w:ascii="仿宋_GB2312" w:hAnsi="仿宋_GB2312" w:eastAsia="仿宋_GB2312" w:cs="仿宋_GB2312"/>
          <w:b w:val="0"/>
          <w:bCs w:val="0"/>
          <w:color w:val="auto"/>
          <w:sz w:val="28"/>
          <w:szCs w:val="28"/>
          <w:lang w:val="en-US" w:eastAsia="zh-CN"/>
        </w:rPr>
        <w:t>甲方</w:t>
      </w:r>
      <w:r>
        <w:rPr>
          <w:rFonts w:hint="eastAsia" w:ascii="仿宋_GB2312" w:hAnsi="仿宋_GB2312" w:eastAsia="仿宋_GB2312" w:cs="仿宋_GB2312"/>
          <w:b w:val="0"/>
          <w:bCs w:val="0"/>
          <w:color w:val="auto"/>
          <w:sz w:val="28"/>
          <w:szCs w:val="28"/>
        </w:rPr>
        <w:t>指定地点，</w:t>
      </w:r>
      <w:r>
        <w:rPr>
          <w:rFonts w:hint="eastAsia" w:ascii="仿宋_GB2312" w:hAnsi="仿宋_GB2312" w:eastAsia="仿宋_GB2312" w:cs="仿宋_GB2312"/>
          <w:b w:val="0"/>
          <w:bCs w:val="0"/>
          <w:color w:val="auto"/>
          <w:sz w:val="28"/>
          <w:szCs w:val="28"/>
          <w:lang w:val="en-US" w:eastAsia="zh-CN"/>
        </w:rPr>
        <w:t>乙方完成</w:t>
      </w:r>
      <w:r>
        <w:rPr>
          <w:rFonts w:hint="eastAsia" w:ascii="仿宋_GB2312" w:hAnsi="仿宋_GB2312" w:eastAsia="仿宋_GB2312" w:cs="仿宋_GB2312"/>
          <w:b w:val="0"/>
          <w:bCs w:val="0"/>
          <w:color w:val="auto"/>
          <w:sz w:val="28"/>
          <w:szCs w:val="28"/>
        </w:rPr>
        <w:t>安装、调试</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自检合格后，提交</w:t>
      </w:r>
      <w:r>
        <w:rPr>
          <w:rFonts w:hint="eastAsia" w:ascii="仿宋_GB2312" w:hAnsi="仿宋_GB2312" w:eastAsia="仿宋_GB2312" w:cs="仿宋_GB2312"/>
          <w:b w:val="0"/>
          <w:bCs w:val="0"/>
          <w:color w:val="auto"/>
          <w:sz w:val="28"/>
          <w:szCs w:val="28"/>
          <w:lang w:val="en-US" w:eastAsia="zh-CN"/>
        </w:rPr>
        <w:t>甲方</w:t>
      </w:r>
      <w:r>
        <w:rPr>
          <w:rFonts w:hint="eastAsia" w:ascii="仿宋_GB2312" w:hAnsi="仿宋_GB2312" w:eastAsia="仿宋_GB2312" w:cs="仿宋_GB2312"/>
          <w:b w:val="0"/>
          <w:bCs w:val="0"/>
          <w:color w:val="auto"/>
          <w:sz w:val="28"/>
          <w:szCs w:val="28"/>
        </w:rPr>
        <w:t>进行第一次验收</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甲方</w:t>
      </w:r>
      <w:r>
        <w:rPr>
          <w:rFonts w:hint="eastAsia" w:ascii="仿宋_GB2312" w:hAnsi="仿宋_GB2312" w:eastAsia="仿宋_GB2312" w:cs="仿宋_GB2312"/>
          <w:b w:val="0"/>
          <w:bCs w:val="0"/>
          <w:color w:val="auto"/>
          <w:sz w:val="28"/>
          <w:szCs w:val="28"/>
        </w:rPr>
        <w:t>自第一次验收合格且收到发票之日起，</w:t>
      </w:r>
      <w:r>
        <w:rPr>
          <w:rFonts w:hint="eastAsia" w:ascii="仿宋_GB2312" w:hAnsi="仿宋_GB2312" w:eastAsia="仿宋_GB2312" w:cs="仿宋_GB2312"/>
          <w:b w:val="0"/>
          <w:bCs w:val="0"/>
          <w:color w:val="auto"/>
          <w:sz w:val="28"/>
          <w:szCs w:val="28"/>
          <w:lang w:val="en-US" w:eastAsia="zh-CN"/>
        </w:rPr>
        <w:t>10日</w:t>
      </w:r>
      <w:r>
        <w:rPr>
          <w:rFonts w:hint="eastAsia" w:ascii="仿宋_GB2312" w:hAnsi="仿宋_GB2312" w:eastAsia="仿宋_GB2312" w:cs="仿宋_GB2312"/>
          <w:b w:val="0"/>
          <w:bCs w:val="0"/>
          <w:color w:val="auto"/>
          <w:sz w:val="28"/>
          <w:szCs w:val="28"/>
        </w:rPr>
        <w:t>内无息支付</w:t>
      </w:r>
      <w:r>
        <w:rPr>
          <w:rFonts w:hint="eastAsia" w:ascii="仿宋_GB2312" w:hAnsi="仿宋_GB2312" w:eastAsia="仿宋_GB2312" w:cs="仿宋_GB2312"/>
          <w:b w:val="0"/>
          <w:bCs w:val="0"/>
          <w:color w:val="auto"/>
          <w:sz w:val="28"/>
          <w:szCs w:val="28"/>
          <w:lang w:val="en-US" w:eastAsia="zh-CN"/>
        </w:rPr>
        <w:t>验收合格产品对应金额总价的55</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（2）项目货物第一次验收合格满三年后，进行二次验收，验收合格后无息支付合同价款的5%</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若因甲方不能及时提供发票或乙方提供的发票不符合要求的</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甲方</w:t>
      </w:r>
      <w:r>
        <w:rPr>
          <w:rFonts w:hint="eastAsia" w:ascii="仿宋_GB2312" w:hAnsi="仿宋_GB2312" w:eastAsia="仿宋_GB2312" w:cs="仿宋_GB2312"/>
          <w:b w:val="0"/>
          <w:bCs w:val="0"/>
          <w:color w:val="auto"/>
          <w:sz w:val="28"/>
          <w:szCs w:val="28"/>
        </w:rPr>
        <w:t>付款期限</w:t>
      </w:r>
      <w:r>
        <w:rPr>
          <w:rFonts w:hint="eastAsia" w:ascii="仿宋_GB2312" w:hAnsi="仿宋_GB2312" w:eastAsia="仿宋_GB2312" w:cs="仿宋_GB2312"/>
          <w:b w:val="0"/>
          <w:bCs w:val="0"/>
          <w:color w:val="auto"/>
          <w:sz w:val="28"/>
          <w:szCs w:val="28"/>
          <w:lang w:val="en-US" w:eastAsia="zh-CN"/>
        </w:rPr>
        <w:t>相应</w:t>
      </w:r>
      <w:r>
        <w:rPr>
          <w:rFonts w:hint="eastAsia" w:ascii="仿宋_GB2312" w:hAnsi="仿宋_GB2312" w:eastAsia="仿宋_GB2312" w:cs="仿宋_GB2312"/>
          <w:b w:val="0"/>
          <w:bCs w:val="0"/>
          <w:color w:val="auto"/>
          <w:sz w:val="28"/>
          <w:szCs w:val="28"/>
        </w:rPr>
        <w:t>顺延，且不承担任何责任</w:t>
      </w:r>
      <w:r>
        <w:rPr>
          <w:rFonts w:hint="eastAsia" w:ascii="仿宋_GB2312" w:hAnsi="仿宋_GB2312" w:eastAsia="仿宋_GB2312" w:cs="仿宋_GB2312"/>
          <w:b w:val="0"/>
          <w:bCs w:val="0"/>
          <w:color w:val="auto"/>
          <w:sz w:val="28"/>
          <w:szCs w:val="28"/>
          <w:lang w:eastAsia="zh-CN"/>
        </w:rPr>
        <w:t>。</w:t>
      </w:r>
    </w:p>
    <w:p w14:paraId="1F812A8E">
      <w:pPr>
        <w:keepNext w:val="0"/>
        <w:keepLines w:val="0"/>
        <w:pageBreakBefore w:val="0"/>
        <w:tabs>
          <w:tab w:val="left" w:pos="480"/>
        </w:tabs>
        <w:kinsoku/>
        <w:wordWrap/>
        <w:overflowPunct/>
        <w:topLinePunct w:val="0"/>
        <w:bidi w:val="0"/>
        <w:adjustRightInd/>
        <w:spacing w:line="500" w:lineRule="exact"/>
        <w:ind w:firstLine="560" w:firstLineChars="200"/>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（二）支付方式：银行转账。</w:t>
      </w:r>
    </w:p>
    <w:p w14:paraId="52E44637">
      <w:pPr>
        <w:keepNext w:val="0"/>
        <w:keepLines w:val="0"/>
        <w:pageBreakBefore w:val="0"/>
        <w:kinsoku/>
        <w:wordWrap/>
        <w:overflowPunct/>
        <w:topLinePunct w:val="0"/>
        <w:bidi w:val="0"/>
        <w:adjustRightInd/>
        <w:spacing w:line="500" w:lineRule="exact"/>
        <w:ind w:firstLine="548" w:firstLineChars="196"/>
        <w:rPr>
          <w:rFonts w:hint="eastAsia" w:ascii="仿宋_GB2312" w:hAnsi="仿宋_GB2312" w:eastAsia="仿宋_GB2312" w:cs="仿宋_GB2312"/>
          <w:b w:val="0"/>
          <w:bCs w:val="0"/>
          <w:color w:val="000000"/>
          <w:kern w:val="36"/>
          <w:sz w:val="28"/>
          <w:szCs w:val="28"/>
        </w:rPr>
      </w:pPr>
      <w:r>
        <w:rPr>
          <w:rFonts w:hint="eastAsia" w:ascii="仿宋_GB2312" w:hAnsi="仿宋_GB2312" w:eastAsia="仿宋_GB2312" w:cs="仿宋_GB2312"/>
          <w:b w:val="0"/>
          <w:bCs w:val="0"/>
          <w:color w:val="000000"/>
          <w:kern w:val="36"/>
          <w:sz w:val="28"/>
          <w:szCs w:val="28"/>
        </w:rPr>
        <w:t>乙方确认以下信息为收款信息：</w:t>
      </w:r>
    </w:p>
    <w:p w14:paraId="3AB3B3AC">
      <w:pPr>
        <w:keepNext w:val="0"/>
        <w:keepLines w:val="0"/>
        <w:pageBreakBefore w:val="0"/>
        <w:kinsoku/>
        <w:wordWrap/>
        <w:overflowPunct/>
        <w:topLinePunct w:val="0"/>
        <w:bidi w:val="0"/>
        <w:adjustRightInd/>
        <w:spacing w:line="500" w:lineRule="exact"/>
        <w:ind w:firstLine="560" w:firstLineChars="200"/>
        <w:rPr>
          <w:rFonts w:hint="default" w:ascii="仿宋_GB2312" w:hAnsi="仿宋_GB2312" w:eastAsia="仿宋_GB2312" w:cs="仿宋_GB2312"/>
          <w:b w:val="0"/>
          <w:bCs w:val="0"/>
          <w:color w:val="000000"/>
          <w:kern w:val="36"/>
          <w:sz w:val="28"/>
          <w:szCs w:val="28"/>
          <w:highlight w:val="none"/>
          <w:lang w:val="en-US" w:eastAsia="zh-CN"/>
        </w:rPr>
      </w:pPr>
      <w:r>
        <w:rPr>
          <w:rFonts w:hint="eastAsia" w:ascii="仿宋_GB2312" w:hAnsi="仿宋_GB2312" w:eastAsia="仿宋_GB2312" w:cs="仿宋_GB2312"/>
          <w:b w:val="0"/>
          <w:bCs w:val="0"/>
          <w:color w:val="000000"/>
          <w:kern w:val="36"/>
          <w:sz w:val="28"/>
          <w:szCs w:val="28"/>
          <w:highlight w:val="none"/>
        </w:rPr>
        <w:t>开户名：</w:t>
      </w:r>
    </w:p>
    <w:p w14:paraId="7533DD8E">
      <w:pPr>
        <w:keepNext w:val="0"/>
        <w:keepLines w:val="0"/>
        <w:pageBreakBefore w:val="0"/>
        <w:kinsoku/>
        <w:wordWrap/>
        <w:overflowPunct/>
        <w:topLinePunct w:val="0"/>
        <w:bidi w:val="0"/>
        <w:adjustRightInd/>
        <w:spacing w:line="500" w:lineRule="exact"/>
        <w:ind w:firstLine="560" w:firstLineChars="200"/>
        <w:rPr>
          <w:rFonts w:hint="eastAsia" w:ascii="仿宋_GB2312" w:hAnsi="仿宋_GB2312" w:eastAsia="仿宋_GB2312" w:cs="仿宋_GB2312"/>
          <w:b w:val="0"/>
          <w:bCs w:val="0"/>
          <w:color w:val="000000"/>
          <w:kern w:val="36"/>
          <w:sz w:val="28"/>
          <w:szCs w:val="28"/>
          <w:highlight w:val="none"/>
        </w:rPr>
      </w:pPr>
      <w:r>
        <w:rPr>
          <w:rFonts w:hint="eastAsia" w:ascii="仿宋_GB2312" w:hAnsi="仿宋_GB2312" w:eastAsia="仿宋_GB2312" w:cs="仿宋_GB2312"/>
          <w:b w:val="0"/>
          <w:bCs w:val="0"/>
          <w:color w:val="000000"/>
          <w:kern w:val="36"/>
          <w:sz w:val="28"/>
          <w:szCs w:val="28"/>
          <w:highlight w:val="none"/>
        </w:rPr>
        <w:t>开户行：</w:t>
      </w:r>
    </w:p>
    <w:p w14:paraId="0FB4D512">
      <w:pPr>
        <w:keepNext w:val="0"/>
        <w:keepLines w:val="0"/>
        <w:pageBreakBefore w:val="0"/>
        <w:tabs>
          <w:tab w:val="left" w:pos="480"/>
        </w:tabs>
        <w:kinsoku/>
        <w:wordWrap/>
        <w:overflowPunct/>
        <w:topLinePunct w:val="0"/>
        <w:bidi w:val="0"/>
        <w:adjustRightInd/>
        <w:spacing w:beforeLines="0" w:afterLines="0" w:line="500" w:lineRule="exact"/>
        <w:ind w:firstLine="560" w:firstLineChars="200"/>
        <w:rPr>
          <w:rFonts w:hint="eastAsia" w:ascii="仿宋_GB2312" w:hAnsi="仿宋_GB2312" w:eastAsia="仿宋_GB2312" w:cs="仿宋_GB2312"/>
          <w:b w:val="0"/>
          <w:bCs w:val="0"/>
          <w:color w:val="000000"/>
          <w:kern w:val="36"/>
          <w:sz w:val="28"/>
          <w:szCs w:val="28"/>
          <w:highlight w:val="none"/>
        </w:rPr>
      </w:pPr>
      <w:r>
        <w:rPr>
          <w:rFonts w:hint="eastAsia" w:ascii="仿宋_GB2312" w:hAnsi="仿宋_GB2312" w:eastAsia="仿宋_GB2312" w:cs="仿宋_GB2312"/>
          <w:b w:val="0"/>
          <w:bCs w:val="0"/>
          <w:kern w:val="36"/>
          <w:sz w:val="28"/>
          <w:szCs w:val="28"/>
          <w:highlight w:val="none"/>
        </w:rPr>
        <w:t>账号：</w:t>
      </w:r>
    </w:p>
    <w:p w14:paraId="37912058">
      <w:pPr>
        <w:keepNext w:val="0"/>
        <w:keepLines w:val="0"/>
        <w:pageBreakBefore w:val="0"/>
        <w:widowControl w:val="0"/>
        <w:tabs>
          <w:tab w:val="left" w:pos="480"/>
        </w:tabs>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val="0"/>
          <w:kern w:val="36"/>
          <w:sz w:val="28"/>
          <w:szCs w:val="28"/>
          <w:lang w:val="en-US" w:eastAsia="zh-CN"/>
        </w:rPr>
      </w:pPr>
      <w:r>
        <w:rPr>
          <w:rFonts w:hint="eastAsia" w:ascii="仿宋_GB2312" w:hAnsi="仿宋_GB2312" w:eastAsia="仿宋_GB2312" w:cs="仿宋_GB2312"/>
          <w:b w:val="0"/>
          <w:bCs w:val="0"/>
          <w:kern w:val="36"/>
          <w:sz w:val="28"/>
          <w:szCs w:val="28"/>
          <w:lang w:val="en-US" w:eastAsia="zh-CN"/>
        </w:rPr>
        <w:t>供应商延期提供发票或提供的发票不符合采购人要求的，采购人有权顺延付款期限直至供应商提供发票，且供应商不得以此为由拒绝履行任意合同义务。</w:t>
      </w:r>
    </w:p>
    <w:p w14:paraId="2CE45F4D">
      <w:pPr>
        <w:keepNext w:val="0"/>
        <w:keepLines w:val="0"/>
        <w:pageBreakBefore w:val="0"/>
        <w:widowControl w:val="0"/>
        <w:tabs>
          <w:tab w:val="left" w:pos="480"/>
        </w:tabs>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val="0"/>
          <w:kern w:val="36"/>
          <w:sz w:val="28"/>
          <w:szCs w:val="28"/>
        </w:rPr>
      </w:pPr>
      <w:r>
        <w:rPr>
          <w:rFonts w:hint="eastAsia" w:ascii="仿宋_GB2312" w:hAnsi="仿宋_GB2312" w:eastAsia="仿宋_GB2312" w:cs="仿宋_GB2312"/>
          <w:b w:val="0"/>
          <w:bCs w:val="0"/>
          <w:kern w:val="2"/>
          <w:sz w:val="28"/>
          <w:szCs w:val="28"/>
          <w:highlight w:val="none"/>
          <w:lang w:val="en-US" w:eastAsia="zh-CN" w:bidi="ar-SA"/>
        </w:rPr>
        <w:t>（三）结算要求：验收合格后填</w:t>
      </w:r>
      <w:r>
        <w:rPr>
          <w:rFonts w:hint="eastAsia" w:ascii="仿宋_GB2312" w:hAnsi="仿宋_GB2312" w:eastAsia="仿宋_GB2312" w:cs="仿宋_GB2312"/>
          <w:b w:val="0"/>
          <w:bCs w:val="0"/>
          <w:kern w:val="2"/>
          <w:sz w:val="28"/>
          <w:szCs w:val="28"/>
          <w:lang w:val="en-US" w:eastAsia="zh-CN" w:bidi="ar-SA"/>
        </w:rPr>
        <w:t>写项目验收单（一式六份），发票按验收金额的100%直开甲方，乙方持供货合同、等额合规发票、项目验收合格单，与甲方结算。</w:t>
      </w:r>
    </w:p>
    <w:p w14:paraId="4B10E200">
      <w:pPr>
        <w:keepNext w:val="0"/>
        <w:keepLines w:val="0"/>
        <w:pageBreakBefore w:val="0"/>
        <w:tabs>
          <w:tab w:val="left" w:pos="1155"/>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六、双方的权利和义务：</w:t>
      </w:r>
    </w:p>
    <w:p w14:paraId="67B85975">
      <w:pPr>
        <w:keepNext w:val="0"/>
        <w:keepLines w:val="0"/>
        <w:pageBreakBefore w:val="0"/>
        <w:widowControl w:val="0"/>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（一）甲方的权利和义务</w:t>
      </w:r>
    </w:p>
    <w:p w14:paraId="333B98B0">
      <w:pPr>
        <w:pStyle w:val="6"/>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1、甲方保证提供给乙方的资料、信息内容合法，不侵犯第三方的合法权益。</w:t>
      </w:r>
    </w:p>
    <w:p w14:paraId="5C22AC6E">
      <w:pPr>
        <w:pStyle w:val="6"/>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lang w:val="en-US" w:eastAsia="zh-CN"/>
        </w:rPr>
      </w:pPr>
      <w:r>
        <w:rPr>
          <w:rFonts w:hint="eastAsia" w:ascii="仿宋_GB2312" w:hAnsi="仿宋_GB2312" w:eastAsia="仿宋_GB2312" w:cs="仿宋_GB2312"/>
          <w:b w:val="0"/>
          <w:bCs w:val="0"/>
          <w:kern w:val="36"/>
          <w:sz w:val="28"/>
          <w:szCs w:val="28"/>
          <w:highlight w:val="none"/>
          <w:lang w:val="en-US" w:eastAsia="zh-CN"/>
        </w:rPr>
        <w:t>2、由于乙方原因不能按合同约定履约，应按照本合同违约责任条款承担违约责任，同时甲方有权扣留剩余款项，作为对甲方损失的赔偿，剩余款项已付或不足以赔偿甲方损失的（包括但不限于甲方因维权产生的诉讼费、公证费、保全费以及律师费等），由乙方另行支付。</w:t>
      </w:r>
    </w:p>
    <w:p w14:paraId="7149AEB5">
      <w:pPr>
        <w:keepNext w:val="0"/>
        <w:keepLines w:val="0"/>
        <w:pageBreakBefore w:val="0"/>
        <w:widowControl w:val="0"/>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（二）乙方的权利和义务</w:t>
      </w:r>
    </w:p>
    <w:p w14:paraId="3F55C9BE">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_GB2312" w:hAnsi="仿宋_GB2312" w:eastAsia="仿宋_GB2312" w:cs="仿宋_GB2312"/>
          <w:b w:val="0"/>
          <w:bCs w:val="0"/>
          <w:color w:val="auto"/>
          <w:sz w:val="28"/>
          <w:szCs w:val="28"/>
          <w:highlight w:val="none"/>
          <w:lang w:eastAsia="zh-CN"/>
        </w:rPr>
        <w:t>（</w:t>
      </w:r>
      <w:r>
        <w:rPr>
          <w:rFonts w:hint="eastAsia" w:ascii="仿宋_GB2312" w:hAnsi="仿宋_GB2312" w:eastAsia="仿宋_GB2312" w:cs="仿宋_GB2312"/>
          <w:b w:val="0"/>
          <w:bCs w:val="0"/>
          <w:color w:val="auto"/>
          <w:sz w:val="28"/>
          <w:szCs w:val="28"/>
          <w:highlight w:val="none"/>
          <w:lang w:val="en-US" w:eastAsia="zh-CN"/>
        </w:rPr>
        <w:t>包括但不限于甲方因维权产生的诉讼费、公证费、保全费以及律师费等</w:t>
      </w:r>
      <w:r>
        <w:rPr>
          <w:rFonts w:hint="eastAsia" w:ascii="仿宋_GB2312" w:hAnsi="仿宋_GB2312" w:eastAsia="仿宋_GB2312" w:cs="仿宋_GB2312"/>
          <w:b w:val="0"/>
          <w:bCs w:val="0"/>
          <w:color w:val="auto"/>
          <w:sz w:val="28"/>
          <w:szCs w:val="28"/>
          <w:highlight w:val="none"/>
          <w:lang w:eastAsia="zh-CN"/>
        </w:rPr>
        <w:t>）</w:t>
      </w:r>
      <w:r>
        <w:rPr>
          <w:rFonts w:hint="eastAsia" w:ascii="仿宋_GB2312" w:hAnsi="仿宋_GB2312" w:eastAsia="仿宋_GB2312" w:cs="仿宋_GB2312"/>
          <w:b w:val="0"/>
          <w:bCs w:val="0"/>
          <w:sz w:val="28"/>
          <w:szCs w:val="28"/>
          <w:highlight w:val="none"/>
        </w:rPr>
        <w:t>。</w:t>
      </w:r>
    </w:p>
    <w:p w14:paraId="258869F5">
      <w:pPr>
        <w:keepNext w:val="0"/>
        <w:keepLines w:val="0"/>
        <w:pageBreakBefore w:val="0"/>
        <w:widowControl w:val="0"/>
        <w:kinsoku/>
        <w:wordWrap/>
        <w:overflowPunct/>
        <w:topLinePunct w:val="0"/>
        <w:autoSpaceDE w:val="0"/>
        <w:autoSpaceDN w:val="0"/>
        <w:bidi w:val="0"/>
        <w:adjustRightInd w:val="0"/>
        <w:spacing w:line="420" w:lineRule="exact"/>
        <w:ind w:firstLine="548" w:firstLineChars="196"/>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2、乙方保证在履行本合同过程中，不侵犯第三方的合法权益。如因乙方原因致使甲方遭受第三方追诉的，乙方应承担由此给甲方造成的全部损失（包括但不限于甲方因维权产生的诉讼费、公证费、保全费以及律师费等），并承担</w:t>
      </w:r>
      <w:r>
        <w:rPr>
          <w:rFonts w:hint="eastAsia" w:ascii="仿宋_GB2312" w:hAnsi="仿宋_GB2312" w:eastAsia="仿宋_GB2312" w:cs="仿宋_GB2312"/>
          <w:b w:val="0"/>
          <w:bCs w:val="0"/>
          <w:color w:val="auto"/>
          <w:sz w:val="28"/>
          <w:szCs w:val="28"/>
          <w:highlight w:val="none"/>
          <w:lang w:val="en-US" w:eastAsia="zh-CN"/>
        </w:rPr>
        <w:t>合同总价款30%的违约金</w:t>
      </w:r>
      <w:r>
        <w:rPr>
          <w:rFonts w:hint="eastAsia" w:ascii="仿宋_GB2312" w:hAnsi="仿宋_GB2312" w:eastAsia="仿宋_GB2312" w:cs="仿宋_GB2312"/>
          <w:b w:val="0"/>
          <w:bCs w:val="0"/>
          <w:sz w:val="28"/>
          <w:szCs w:val="28"/>
          <w:highlight w:val="none"/>
        </w:rPr>
        <w:t>违约责任。</w:t>
      </w:r>
    </w:p>
    <w:p w14:paraId="23A8A391">
      <w:pPr>
        <w:keepNext w:val="0"/>
        <w:keepLines w:val="0"/>
        <w:pageBreakBefore w:val="0"/>
        <w:widowControl w:val="0"/>
        <w:tabs>
          <w:tab w:val="left" w:pos="480"/>
        </w:tabs>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3、乙方按照本合同约定，在履行的过程中，不允许利用甲方提供的工作条件和相关资料进行与本项目无关的工作。如因乙方原因致使甲方遭受经济及法律追诉的，由乙方完全承担</w:t>
      </w:r>
      <w:r>
        <w:rPr>
          <w:rFonts w:hint="eastAsia" w:ascii="仿宋_GB2312" w:hAnsi="仿宋_GB2312" w:eastAsia="仿宋_GB2312" w:cs="仿宋_GB2312"/>
          <w:b w:val="0"/>
          <w:bCs w:val="0"/>
          <w:color w:val="auto"/>
          <w:sz w:val="28"/>
          <w:szCs w:val="28"/>
          <w:highlight w:val="none"/>
        </w:rPr>
        <w:t>（包括但不限于甲方因维权产生的诉讼费、公证费、保全费以及律师费等）</w:t>
      </w:r>
      <w:r>
        <w:rPr>
          <w:rFonts w:hint="eastAsia" w:ascii="仿宋_GB2312" w:hAnsi="仿宋_GB2312" w:eastAsia="仿宋_GB2312" w:cs="仿宋_GB2312"/>
          <w:b w:val="0"/>
          <w:bCs w:val="0"/>
          <w:sz w:val="28"/>
          <w:szCs w:val="28"/>
          <w:highlight w:val="none"/>
        </w:rPr>
        <w:t>。</w:t>
      </w:r>
    </w:p>
    <w:p w14:paraId="042C426B">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4、乙方必须设置安装、调试现场安全管理人员及专职安全员，杜绝违规安装。</w:t>
      </w:r>
    </w:p>
    <w:p w14:paraId="6762699D">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5、乙方必须对安装、调试地域环境卫生、人员安全、生产安全、防火安全负全责。安装、调试现场的各种活动须服从甲方相关部门的管理、监督，同时做好与其它人员的交叉作业及配合工作。</w:t>
      </w:r>
    </w:p>
    <w:p w14:paraId="5E175548">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2DA876D0">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570D4B3C">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8、乙方供货、安装、调试人员要严防火灾，不准在禁止烟火的地方动用明火；要文明供货，不得在安装、调试现场戏耍和打架斗殴；要注意用电安全，电器开关要设箱加锁，不准乱拉乱接电线。</w:t>
      </w:r>
    </w:p>
    <w:p w14:paraId="38390FD0">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r>
        <w:rPr>
          <w:rFonts w:hint="eastAsia" w:ascii="仿宋_GB2312" w:hAnsi="仿宋_GB2312" w:eastAsia="仿宋_GB2312" w:cs="仿宋_GB2312"/>
          <w:b w:val="0"/>
          <w:bCs w:val="0"/>
          <w:color w:val="auto"/>
          <w:kern w:val="36"/>
          <w:sz w:val="28"/>
          <w:szCs w:val="28"/>
          <w:highlight w:val="none"/>
        </w:rPr>
        <w:t>，若因此还造成甲方损失的，乙方应承担全部损失（包括但不限于甲方因维权产生的诉讼费、公证费、保全费以及律师费等）</w:t>
      </w:r>
      <w:r>
        <w:rPr>
          <w:rFonts w:hint="eastAsia" w:ascii="仿宋_GB2312" w:hAnsi="仿宋_GB2312" w:eastAsia="仿宋_GB2312" w:cs="仿宋_GB2312"/>
          <w:b w:val="0"/>
          <w:bCs w:val="0"/>
          <w:kern w:val="36"/>
          <w:sz w:val="28"/>
          <w:szCs w:val="28"/>
          <w:highlight w:val="none"/>
        </w:rPr>
        <w:t>。</w:t>
      </w:r>
    </w:p>
    <w:p w14:paraId="09CB6FC1">
      <w:pPr>
        <w:keepNext w:val="0"/>
        <w:keepLines w:val="0"/>
        <w:pageBreakBefore w:val="0"/>
        <w:widowControl w:val="0"/>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10、乙方货物需在甲方指定地点有序堆放，垃圾或货物外包装应24小时内清理外运，严禁随意乱堆乱放，影响院内大环境及道路畅通。</w:t>
      </w:r>
    </w:p>
    <w:p w14:paraId="362BA9D3">
      <w:pPr>
        <w:keepNext w:val="0"/>
        <w:keepLines w:val="0"/>
        <w:pageBreakBefore w:val="0"/>
        <w:widowControl w:val="0"/>
        <w:tabs>
          <w:tab w:val="left" w:pos="480"/>
        </w:tabs>
        <w:kinsoku/>
        <w:wordWrap/>
        <w:overflowPunct/>
        <w:topLinePunct w:val="0"/>
        <w:autoSpaceDE w:val="0"/>
        <w:autoSpaceDN w:val="0"/>
        <w:bidi w:val="0"/>
        <w:adjustRightInd w:val="0"/>
        <w:spacing w:line="420" w:lineRule="exact"/>
        <w:ind w:firstLine="560" w:firstLineChars="200"/>
        <w:textAlignment w:val="auto"/>
        <w:rPr>
          <w:rFonts w:hint="eastAsia" w:ascii="仿宋_GB2312" w:hAnsi="仿宋_GB2312" w:eastAsia="仿宋_GB2312" w:cs="仿宋_GB2312"/>
          <w:b w:val="0"/>
          <w:bCs w:val="0"/>
          <w:kern w:val="36"/>
          <w:sz w:val="28"/>
          <w:szCs w:val="28"/>
          <w:highlight w:val="none"/>
        </w:rPr>
      </w:pPr>
      <w:r>
        <w:rPr>
          <w:rFonts w:hint="eastAsia" w:ascii="仿宋_GB2312" w:hAnsi="仿宋_GB2312" w:eastAsia="仿宋_GB2312" w:cs="仿宋_GB2312"/>
          <w:b w:val="0"/>
          <w:bCs w:val="0"/>
          <w:kern w:val="36"/>
          <w:sz w:val="28"/>
          <w:szCs w:val="28"/>
          <w:highlight w:val="none"/>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w:t>
      </w:r>
      <w:r>
        <w:rPr>
          <w:rFonts w:hint="eastAsia" w:ascii="仿宋_GB2312" w:hAnsi="仿宋_GB2312" w:eastAsia="仿宋_GB2312" w:cs="仿宋_GB2312"/>
          <w:b w:val="0"/>
          <w:bCs w:val="0"/>
          <w:kern w:val="36"/>
          <w:sz w:val="28"/>
          <w:szCs w:val="28"/>
          <w:highlight w:val="none"/>
          <w:lang w:val="en-US" w:eastAsia="zh-CN"/>
        </w:rPr>
        <w:t>甲方</w:t>
      </w:r>
      <w:r>
        <w:rPr>
          <w:rFonts w:hint="eastAsia" w:ascii="仿宋_GB2312" w:hAnsi="仿宋_GB2312" w:eastAsia="仿宋_GB2312" w:cs="仿宋_GB2312"/>
          <w:b w:val="0"/>
          <w:bCs w:val="0"/>
          <w:kern w:val="36"/>
          <w:sz w:val="28"/>
          <w:szCs w:val="28"/>
          <w:highlight w:val="none"/>
        </w:rPr>
        <w:t>书面解除通知送达乙方之日解除，乙方应按照合同总价的30%承担违约金，若违约金不足以弥补甲方损失的</w:t>
      </w:r>
      <w:r>
        <w:rPr>
          <w:rFonts w:hint="eastAsia" w:ascii="仿宋_GB2312" w:hAnsi="仿宋_GB2312" w:eastAsia="仿宋_GB2312" w:cs="仿宋_GB2312"/>
          <w:b w:val="0"/>
          <w:bCs w:val="0"/>
          <w:kern w:val="36"/>
          <w:sz w:val="28"/>
          <w:szCs w:val="28"/>
          <w:highlight w:val="none"/>
          <w:lang w:val="en-US" w:eastAsia="zh-CN"/>
        </w:rPr>
        <w:t>（包括但不限于甲方因维权产生的诉讼费、公证费、保全费以及律师费等）</w:t>
      </w:r>
      <w:r>
        <w:rPr>
          <w:rFonts w:hint="eastAsia" w:ascii="仿宋_GB2312" w:hAnsi="仿宋_GB2312" w:eastAsia="仿宋_GB2312" w:cs="仿宋_GB2312"/>
          <w:b w:val="0"/>
          <w:bCs w:val="0"/>
          <w:kern w:val="36"/>
          <w:sz w:val="28"/>
          <w:szCs w:val="28"/>
          <w:highlight w:val="none"/>
        </w:rPr>
        <w:t>，由乙方另行支付。</w:t>
      </w:r>
    </w:p>
    <w:p w14:paraId="353978A3">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七、运输</w:t>
      </w:r>
    </w:p>
    <w:p w14:paraId="310AA6B5">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（一）运输由乙方负责，运杂费已包含在合同总价内，包括从货物供应地点所含的运输费、装卸费、仓储费、保险费等</w:t>
      </w:r>
      <w:r>
        <w:rPr>
          <w:rFonts w:hint="eastAsia" w:ascii="仿宋_GB2312" w:hAnsi="仿宋_GB2312" w:eastAsia="仿宋_GB2312" w:cs="仿宋_GB2312"/>
          <w:b w:val="0"/>
          <w:bCs w:val="0"/>
          <w:sz w:val="28"/>
          <w:szCs w:val="28"/>
          <w:lang w:val="en-US" w:eastAsia="zh-CN"/>
        </w:rPr>
        <w:t>全部费用</w:t>
      </w:r>
      <w:r>
        <w:rPr>
          <w:rFonts w:hint="eastAsia" w:ascii="仿宋_GB2312" w:hAnsi="仿宋_GB2312" w:eastAsia="仿宋_GB2312" w:cs="仿宋_GB2312"/>
          <w:b w:val="0"/>
          <w:bCs w:val="0"/>
          <w:sz w:val="28"/>
          <w:szCs w:val="28"/>
        </w:rPr>
        <w:t>。</w:t>
      </w:r>
    </w:p>
    <w:p w14:paraId="313198C8">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kern w:val="36"/>
          <w:sz w:val="28"/>
          <w:szCs w:val="28"/>
        </w:rPr>
      </w:pPr>
      <w:r>
        <w:rPr>
          <w:rFonts w:hint="eastAsia" w:ascii="仿宋_GB2312" w:hAnsi="仿宋_GB2312" w:eastAsia="仿宋_GB2312" w:cs="仿宋_GB2312"/>
          <w:b w:val="0"/>
          <w:bCs w:val="0"/>
          <w:kern w:val="36"/>
          <w:sz w:val="28"/>
          <w:szCs w:val="28"/>
        </w:rPr>
        <w:t>（二）运输方式由乙方自行选择，但必须保证按期交付。</w:t>
      </w:r>
    </w:p>
    <w:p w14:paraId="5155F8F8">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kern w:val="36"/>
          <w:sz w:val="28"/>
          <w:szCs w:val="28"/>
        </w:rPr>
      </w:pPr>
      <w:r>
        <w:rPr>
          <w:rFonts w:hint="eastAsia" w:ascii="仿宋_GB2312" w:hAnsi="仿宋_GB2312" w:eastAsia="仿宋_GB2312" w:cs="仿宋_GB2312"/>
          <w:b w:val="0"/>
          <w:bCs w:val="0"/>
          <w:kern w:val="36"/>
          <w:sz w:val="28"/>
          <w:szCs w:val="28"/>
        </w:rPr>
        <w:t>（三）货物验收合格前产生的一切毁损、灭失的风险及质量问题均由乙方承担。</w:t>
      </w:r>
    </w:p>
    <w:p w14:paraId="5B0ABDDE">
      <w:pPr>
        <w:keepNext w:val="0"/>
        <w:keepLines w:val="0"/>
        <w:pageBreakBefore w:val="0"/>
        <w:widowControl w:val="0"/>
        <w:tabs>
          <w:tab w:val="left" w:pos="1155"/>
        </w:tabs>
        <w:kinsoku/>
        <w:wordWrap/>
        <w:overflowPunct/>
        <w:topLinePunct w:val="0"/>
        <w:bidi w:val="0"/>
        <w:adjustRightInd/>
        <w:spacing w:line="500" w:lineRule="exact"/>
        <w:ind w:left="0" w:leftChars="0" w:firstLine="0" w:firstLine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八、质量保证</w:t>
      </w:r>
    </w:p>
    <w:p w14:paraId="4D0E737D">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乙方所供货物必须执行下列条款：</w:t>
      </w:r>
    </w:p>
    <w:p w14:paraId="738BEA4E">
      <w:pPr>
        <w:keepNext w:val="0"/>
        <w:keepLines w:val="0"/>
        <w:pageBreakBefore w:val="0"/>
        <w:widowControl w:val="0"/>
        <w:kinsoku/>
        <w:wordWrap/>
        <w:overflowPunct/>
        <w:topLinePunct w:val="0"/>
        <w:bidi w:val="0"/>
        <w:adjustRightInd/>
        <w:spacing w:line="500" w:lineRule="exact"/>
        <w:ind w:firstLine="48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（一）保证技术指标先进、质量性能可靠、进货渠道正常、功能齐全、配置合理，全面满足技术要求。</w:t>
      </w:r>
    </w:p>
    <w:p w14:paraId="7EEF5209">
      <w:pPr>
        <w:keepNext w:val="0"/>
        <w:keepLines w:val="0"/>
        <w:pageBreakBefore w:val="0"/>
        <w:widowControl w:val="0"/>
        <w:kinsoku/>
        <w:wordWrap/>
        <w:overflowPunct/>
        <w:topLinePunct w:val="0"/>
        <w:bidi w:val="0"/>
        <w:adjustRightInd/>
        <w:spacing w:line="500" w:lineRule="exact"/>
        <w:ind w:firstLine="48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（二）符合国家有关规范要求，确保达到最佳运行状态。对于由于产品设计、工艺或材料的缺陷而产生的质量问题负责。</w:t>
      </w:r>
    </w:p>
    <w:p w14:paraId="20AF7599">
      <w:pPr>
        <w:keepNext w:val="0"/>
        <w:keepLines w:val="0"/>
        <w:pageBreakBefore w:val="0"/>
        <w:widowControl w:val="0"/>
        <w:kinsoku/>
        <w:wordWrap/>
        <w:overflowPunct/>
        <w:topLinePunct w:val="0"/>
        <w:bidi w:val="0"/>
        <w:adjustRightInd/>
        <w:spacing w:line="500" w:lineRule="exact"/>
        <w:ind w:left="0" w:leftChars="0"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（三）具有良好的外观，适合安装场所的使用。</w:t>
      </w:r>
    </w:p>
    <w:p w14:paraId="62FFE479">
      <w:pPr>
        <w:keepNext w:val="0"/>
        <w:keepLines w:val="0"/>
        <w:pageBreakBefore w:val="0"/>
        <w:widowControl w:val="0"/>
        <w:kinsoku/>
        <w:wordWrap/>
        <w:overflowPunct/>
        <w:topLinePunct w:val="0"/>
        <w:bidi w:val="0"/>
        <w:adjustRightInd/>
        <w:spacing w:line="500" w:lineRule="exact"/>
        <w:ind w:left="0" w:leftChars="0" w:firstLine="0" w:firstLine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九、特殊要求：</w:t>
      </w:r>
    </w:p>
    <w:p w14:paraId="77EE9C0A">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（一）因甲方为一所三级甲等医院，就诊患者较多人员较为复杂，病员均为特殊群体，甲方要求在供货过程当中，始终以患者为第一，任何供货决不能影响患者正常就诊。</w:t>
      </w:r>
    </w:p>
    <w:p w14:paraId="613F9D77">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（二）无论供货大小难易以及节假日与夜间供货，要求乙方积极组织供货力量正常供货，服从甲方工作安排。 </w:t>
      </w:r>
    </w:p>
    <w:p w14:paraId="3B000016">
      <w:pPr>
        <w:keepNext w:val="0"/>
        <w:keepLines w:val="0"/>
        <w:pageBreakBefore w:val="0"/>
        <w:widowControl w:val="0"/>
        <w:tabs>
          <w:tab w:val="left" w:pos="1155"/>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（三）乙方对甲方突发公共卫生事件及各项应急预案应积极响应并派员配合及协助工作，不得拒绝推诿。</w:t>
      </w:r>
    </w:p>
    <w:p w14:paraId="12732892">
      <w:pPr>
        <w:keepNext w:val="0"/>
        <w:keepLines w:val="0"/>
        <w:pageBreakBefore w:val="0"/>
        <w:widowControl w:val="0"/>
        <w:tabs>
          <w:tab w:val="left" w:pos="1155"/>
        </w:tabs>
        <w:kinsoku/>
        <w:wordWrap/>
        <w:overflowPunct/>
        <w:topLinePunct w:val="0"/>
        <w:bidi w:val="0"/>
        <w:adjustRightInd/>
        <w:spacing w:line="500" w:lineRule="exact"/>
        <w:ind w:left="0" w:leftChars="0" w:firstLine="0" w:firstLine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十、售后服务：</w:t>
      </w:r>
    </w:p>
    <w:p w14:paraId="5001F691">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（一）质保期内</w:t>
      </w:r>
    </w:p>
    <w:p w14:paraId="778CB7FB">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自安装调试、检测、正常运行并验收合格之日起：</w:t>
      </w:r>
    </w:p>
    <w:p w14:paraId="441A68F0">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1、提供质保</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rPr>
        <w:t>年。</w:t>
      </w:r>
    </w:p>
    <w:p w14:paraId="182BC92A">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2、同一主要部件出现质量问题，经过两次维修后仍无法正常使用，乙方必须更换同品牌、同型号、同规格的新产品。</w:t>
      </w:r>
    </w:p>
    <w:p w14:paraId="0467DE6C">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3、乙方电话响应时间小于2小时，到达现场时间不超过24小时，解决问题不超过48小时。若需返厂维修，乙方承担往返费用。</w:t>
      </w:r>
    </w:p>
    <w:p w14:paraId="39ACC6BB">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4、乙方不能解决的故障，甲方有权指定第三方维修，维修费用由乙方承担。甲方有权从尾款中扣除，尾款已付或不足以支付全部维修费用的，由乙方另行支付。</w:t>
      </w:r>
    </w:p>
    <w:p w14:paraId="0246E44B">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5、30天内，如出现质量问题，可以选择换货或退货。</w:t>
      </w:r>
    </w:p>
    <w:p w14:paraId="584AD04C">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rPr>
        <w:t>、电话咨询</w:t>
      </w:r>
    </w:p>
    <w:p w14:paraId="0D78334E">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免费提供每周7天/每天24小时不间断的电话支持服务，解答甲方在使用过程中遇到的问题，24小时内提出解决问题的建议和操作方法。</w:t>
      </w:r>
    </w:p>
    <w:p w14:paraId="109FEAC4">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（二）款项结清前，乙方应对所提供产品进行全面检测，全面保养维护。</w:t>
      </w:r>
    </w:p>
    <w:p w14:paraId="14F8A777">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（三）质保期满后，乙方应保证以按市场价格的5折提供维护和保养服务，当发生事故时，乙方应按质保期内同样的标准进行维护处理。</w:t>
      </w:r>
    </w:p>
    <w:p w14:paraId="65CCA606">
      <w:pPr>
        <w:keepNext w:val="0"/>
        <w:keepLines w:val="0"/>
        <w:pageBreakBefore w:val="0"/>
        <w:widowControl w:val="0"/>
        <w:kinsoku/>
        <w:wordWrap/>
        <w:overflowPunct/>
        <w:topLinePunct w:val="0"/>
        <w:bidi w:val="0"/>
        <w:adjustRightInd/>
        <w:spacing w:line="500" w:lineRule="exact"/>
        <w:ind w:firstLine="588" w:firstLineChars="21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（四）培训</w:t>
      </w:r>
    </w:p>
    <w:p w14:paraId="467CBB3B">
      <w:pPr>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提供免费培训，使操作、维护人员掌握使用、维护等操作方法，并预期达到熟练操作水平。培训具体内容可以根据甲方情况熟悉、现场使用情况等灵活调整。</w:t>
      </w:r>
    </w:p>
    <w:p w14:paraId="3A231688">
      <w:pPr>
        <w:keepNext w:val="0"/>
        <w:keepLines w:val="0"/>
        <w:pageBreakBefore w:val="0"/>
        <w:widowControl w:val="0"/>
        <w:tabs>
          <w:tab w:val="left" w:pos="0"/>
        </w:tabs>
        <w:kinsoku/>
        <w:wordWrap/>
        <w:overflowPunct/>
        <w:topLinePunct w:val="0"/>
        <w:bidi w:val="0"/>
        <w:adjustRightInd/>
        <w:spacing w:line="50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十一、验收</w:t>
      </w:r>
    </w:p>
    <w:p w14:paraId="35016EC6">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（一）货物到达甲方指定地点后，甲方根据合同要求，进行外观验收，确认产地、规格、型号和数量。</w:t>
      </w:r>
    </w:p>
    <w:p w14:paraId="26AD669E">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（二）按照甲方标书和乙方投标文件及承诺中的要求，安装、调试、检测，平稳运行，确认项目完成，乙方进行自检，自检合格后，准备验收文件，并书面通知甲方。</w:t>
      </w:r>
    </w:p>
    <w:p w14:paraId="18A3BA7B">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（三）甲方确认乙方的自检内容后，组织乙方（必要时请有关专家）进行项目验收。验收合格后，填写验收单（一式六份）作为对项目的最终认可。</w:t>
      </w:r>
    </w:p>
    <w:p w14:paraId="3B7EF87A">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（四）如验收不合格，乙方应负责整改或返修，直至甲方验收合格为至，</w:t>
      </w:r>
      <w:r>
        <w:rPr>
          <w:rFonts w:hint="eastAsia" w:ascii="仿宋_GB2312" w:hAnsi="仿宋_GB2312" w:eastAsia="仿宋_GB2312" w:cs="仿宋_GB2312"/>
          <w:b w:val="0"/>
          <w:bCs w:val="0"/>
          <w:spacing w:val="-20"/>
          <w:kern w:val="32"/>
          <w:position w:val="2"/>
          <w:sz w:val="28"/>
          <w:szCs w:val="28"/>
        </w:rPr>
        <w:t>且交付期不顺延，由此产生的费用及造成的损失，乙方自行承担</w:t>
      </w:r>
      <w:r>
        <w:rPr>
          <w:rFonts w:hint="eastAsia" w:ascii="仿宋_GB2312" w:hAnsi="仿宋_GB2312" w:eastAsia="仿宋_GB2312" w:cs="仿宋_GB2312"/>
          <w:b w:val="0"/>
          <w:bCs w:val="0"/>
          <w:sz w:val="28"/>
          <w:szCs w:val="28"/>
        </w:rPr>
        <w:t>。若乙方交付项目验收不合格累计超过3次的，甲方有权选择解除合同，</w:t>
      </w:r>
      <w:r>
        <w:rPr>
          <w:rFonts w:hint="eastAsia" w:ascii="仿宋_GB2312" w:hAnsi="仿宋_GB2312" w:eastAsia="仿宋_GB2312" w:cs="仿宋_GB2312"/>
          <w:b w:val="0"/>
          <w:bCs w:val="0"/>
          <w:sz w:val="28"/>
          <w:szCs w:val="28"/>
          <w:lang w:val="en-US" w:eastAsia="zh-CN"/>
        </w:rPr>
        <w:t>合同自甲方书面解除通知到达乙方时解除。</w:t>
      </w:r>
      <w:r>
        <w:rPr>
          <w:rFonts w:hint="eastAsia" w:ascii="仿宋_GB2312" w:hAnsi="仿宋_GB2312" w:eastAsia="仿宋_GB2312" w:cs="仿宋_GB2312"/>
          <w:b w:val="0"/>
          <w:bCs w:val="0"/>
          <w:sz w:val="28"/>
          <w:szCs w:val="28"/>
        </w:rPr>
        <w:t>若合同解除，乙方应按照本协议违约责任第（二）款承担违约责任。若因乙方项目货物验收不合格导致乙方货物交付延期的，乙方仍应按本合同违约责任第（二）款承担违约责任。</w:t>
      </w:r>
    </w:p>
    <w:p w14:paraId="1EA890F0">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（五）乙方向甲方提交项目实施过程中的所有资料，以便甲方日后管理和维护。</w:t>
      </w:r>
    </w:p>
    <w:p w14:paraId="67CE0E53">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（六）以第一次验收合格日期算起，到达约定付款期时，甲方组织乙方（必要时请有关专家）进行项目结束验收，验收合格后，填写最终验收单（一式六份）作为对项目的最终认可。</w:t>
      </w:r>
    </w:p>
    <w:p w14:paraId="0602D324">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（七）验收依据</w:t>
      </w:r>
    </w:p>
    <w:p w14:paraId="1A4D6B87">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1、招标文件、投标文件、澄清表（函）；</w:t>
      </w:r>
    </w:p>
    <w:p w14:paraId="2955F6BF">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2、本合同及附件文本；</w:t>
      </w:r>
    </w:p>
    <w:p w14:paraId="2C75E6A9">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3、国家相应的标准、规范；</w:t>
      </w:r>
    </w:p>
    <w:p w14:paraId="57459322">
      <w:pPr>
        <w:keepNext w:val="0"/>
        <w:keepLines w:val="0"/>
        <w:pageBreakBefore w:val="0"/>
        <w:widowControl w:val="0"/>
        <w:tabs>
          <w:tab w:val="left" w:pos="0"/>
        </w:tabs>
        <w:kinsoku/>
        <w:wordWrap/>
        <w:overflowPunct/>
        <w:topLinePunct w:val="0"/>
        <w:bidi w:val="0"/>
        <w:adjustRightInd/>
        <w:spacing w:line="50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4、使用说明书；（中文）；</w:t>
      </w:r>
    </w:p>
    <w:p w14:paraId="14FA438A">
      <w:pPr>
        <w:keepNext w:val="0"/>
        <w:keepLines w:val="0"/>
        <w:pageBreakBefore w:val="0"/>
        <w:widowControl w:val="0"/>
        <w:tabs>
          <w:tab w:val="left" w:pos="0"/>
          <w:tab w:val="center" w:pos="4153"/>
        </w:tabs>
        <w:kinsoku/>
        <w:wordWrap/>
        <w:overflowPunct/>
        <w:topLinePunct w:val="0"/>
        <w:bidi w:val="0"/>
        <w:adjustRightInd/>
        <w:spacing w:line="500" w:lineRule="exact"/>
        <w:ind w:firstLine="498" w:firstLineChars="178"/>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5、其它资料。</w:t>
      </w:r>
    </w:p>
    <w:p w14:paraId="65E5811E">
      <w:pPr>
        <w:keepNext w:val="0"/>
        <w:keepLines w:val="0"/>
        <w:pageBreakBefore w:val="0"/>
        <w:widowControl w:val="0"/>
        <w:tabs>
          <w:tab w:val="left" w:pos="0"/>
          <w:tab w:val="center" w:pos="4153"/>
        </w:tabs>
        <w:kinsoku/>
        <w:wordWrap/>
        <w:overflowPunct/>
        <w:topLinePunct w:val="0"/>
        <w:bidi w:val="0"/>
        <w:adjustRightInd/>
        <w:spacing w:line="50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十二、违约责任</w:t>
      </w:r>
    </w:p>
    <w:p w14:paraId="7272F678">
      <w:pPr>
        <w:keepNext w:val="0"/>
        <w:keepLines w:val="0"/>
        <w:pageBreakBefore w:val="0"/>
        <w:widowControl w:val="0"/>
        <w:tabs>
          <w:tab w:val="left" w:pos="0"/>
        </w:tabs>
        <w:kinsoku/>
        <w:wordWrap/>
        <w:overflowPunct/>
        <w:topLinePunct w:val="0"/>
        <w:autoSpaceDE w:val="0"/>
        <w:autoSpaceDN w:val="0"/>
        <w:bidi w:val="0"/>
        <w:adjustRightInd w:val="0"/>
        <w:spacing w:line="420" w:lineRule="exact"/>
        <w:ind w:firstLine="548" w:firstLineChars="196"/>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（一）按《中华人民共和国民法典》中的相关条款执行。</w:t>
      </w:r>
    </w:p>
    <w:p w14:paraId="1733566A">
      <w:pPr>
        <w:keepNext w:val="0"/>
        <w:keepLines w:val="0"/>
        <w:pageBreakBefore w:val="0"/>
        <w:widowControl w:val="0"/>
        <w:tabs>
          <w:tab w:val="left" w:pos="0"/>
        </w:tabs>
        <w:kinsoku/>
        <w:wordWrap/>
        <w:overflowPunct/>
        <w:topLinePunct w:val="0"/>
        <w:autoSpaceDE w:val="0"/>
        <w:autoSpaceDN w:val="0"/>
        <w:bidi w:val="0"/>
        <w:adjustRightInd w:val="0"/>
        <w:spacing w:line="420" w:lineRule="exact"/>
        <w:ind w:firstLine="548" w:firstLineChars="196"/>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（二）乙方未按合同要求提供货物，或提供货物质量不能满足本合同、招标文件、投标文件等相关文件要求的，甲方有权解除合同（合同自</w:t>
      </w:r>
      <w:r>
        <w:rPr>
          <w:rFonts w:hint="eastAsia" w:ascii="仿宋_GB2312" w:hAnsi="仿宋_GB2312" w:eastAsia="仿宋_GB2312" w:cs="仿宋_GB2312"/>
          <w:b w:val="0"/>
          <w:bCs w:val="0"/>
          <w:sz w:val="28"/>
          <w:szCs w:val="28"/>
          <w:highlight w:val="none"/>
          <w:lang w:val="en-US" w:eastAsia="zh-CN"/>
        </w:rPr>
        <w:t>甲方</w:t>
      </w:r>
      <w:r>
        <w:rPr>
          <w:rFonts w:hint="eastAsia" w:ascii="仿宋_GB2312" w:hAnsi="仿宋_GB2312" w:eastAsia="仿宋_GB2312" w:cs="仿宋_GB2312"/>
          <w:b w:val="0"/>
          <w:bCs w:val="0"/>
          <w:sz w:val="28"/>
          <w:szCs w:val="28"/>
          <w:highlight w:val="none"/>
        </w:rPr>
        <w:t>书面解除通知到达乙方之日起解除），乙方逾期交付货物的，除应及时交足货物外，同时还应按合同总价的</w:t>
      </w:r>
      <w:r>
        <w:rPr>
          <w:rFonts w:hint="eastAsia" w:ascii="仿宋_GB2312" w:hAnsi="仿宋_GB2312" w:eastAsia="仿宋_GB2312" w:cs="仿宋_GB2312"/>
          <w:b w:val="0"/>
          <w:bCs w:val="0"/>
          <w:sz w:val="28"/>
          <w:szCs w:val="28"/>
          <w:highlight w:val="none"/>
          <w:lang w:val="en-US" w:eastAsia="zh-CN"/>
        </w:rPr>
        <w:t xml:space="preserve">百分之一 </w:t>
      </w:r>
      <w:r>
        <w:rPr>
          <w:rFonts w:hint="eastAsia" w:ascii="仿宋_GB2312" w:hAnsi="仿宋_GB2312" w:eastAsia="仿宋_GB2312" w:cs="仿宋_GB2312"/>
          <w:b w:val="0"/>
          <w:bCs w:val="0"/>
          <w:sz w:val="28"/>
          <w:szCs w:val="28"/>
          <w:highlight w:val="none"/>
        </w:rPr>
        <w:t>/天向甲方支付违约金；逾期交货超过10天，甲方有权解除合同，合同自</w:t>
      </w:r>
      <w:r>
        <w:rPr>
          <w:rFonts w:hint="eastAsia" w:ascii="仿宋_GB2312" w:hAnsi="仿宋_GB2312" w:eastAsia="仿宋_GB2312" w:cs="仿宋_GB2312"/>
          <w:b w:val="0"/>
          <w:bCs w:val="0"/>
          <w:sz w:val="28"/>
          <w:szCs w:val="28"/>
          <w:highlight w:val="none"/>
          <w:lang w:val="en-US" w:eastAsia="zh-CN"/>
        </w:rPr>
        <w:t>甲方</w:t>
      </w:r>
      <w:r>
        <w:rPr>
          <w:rFonts w:hint="eastAsia" w:ascii="仿宋_GB2312" w:hAnsi="仿宋_GB2312" w:eastAsia="仿宋_GB2312" w:cs="仿宋_GB2312"/>
          <w:b w:val="0"/>
          <w:bCs w:val="0"/>
          <w:sz w:val="28"/>
          <w:szCs w:val="28"/>
          <w:highlight w:val="none"/>
        </w:rPr>
        <w:t>书面解除通知到达乙方之日起解除，乙方则应按合同总价的30%向甲方支付违约金，若违约金不足以弥补甲方解除合同的全部损失（包括但不限于律师费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诉讼费、保全费、公证费等维权费用</w:t>
      </w:r>
      <w:r>
        <w:rPr>
          <w:rFonts w:hint="eastAsia" w:ascii="仿宋_GB2312" w:hAnsi="仿宋_GB2312" w:eastAsia="仿宋_GB2312" w:cs="仿宋_GB2312"/>
          <w:b w:val="0"/>
          <w:bCs w:val="0"/>
          <w:sz w:val="28"/>
          <w:szCs w:val="28"/>
          <w:highlight w:val="none"/>
        </w:rPr>
        <w:t>、重新采购产生的费用、合同未履行导致设备不能按规划交付使用可能产生的租赁费用及其他由此造成的甲方对第三方的违约损失）的，由乙方另行支付。</w:t>
      </w:r>
    </w:p>
    <w:p w14:paraId="55F0627B">
      <w:pPr>
        <w:keepNext w:val="0"/>
        <w:keepLines w:val="0"/>
        <w:pageBreakBefore w:val="0"/>
        <w:widowControl w:val="0"/>
        <w:tabs>
          <w:tab w:val="left" w:pos="0"/>
        </w:tabs>
        <w:kinsoku/>
        <w:wordWrap/>
        <w:overflowPunct/>
        <w:topLinePunct w:val="0"/>
        <w:autoSpaceDE w:val="0"/>
        <w:autoSpaceDN w:val="0"/>
        <w:bidi w:val="0"/>
        <w:adjustRightInd w:val="0"/>
        <w:spacing w:line="42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（三）乙方逾期交付货物的，除应及时交足货物外，交货期每超过一天，乙方同时还应按合同总价的</w:t>
      </w:r>
      <w:r>
        <w:rPr>
          <w:rFonts w:hint="eastAsia" w:ascii="仿宋_GB2312" w:hAnsi="仿宋_GB2312" w:eastAsia="仿宋_GB2312" w:cs="仿宋_GB2312"/>
          <w:b w:val="0"/>
          <w:bCs w:val="0"/>
          <w:sz w:val="28"/>
          <w:szCs w:val="28"/>
          <w:u w:val="single"/>
          <w:lang w:val="en-US" w:eastAsia="zh-CN"/>
        </w:rPr>
        <w:t>1%</w:t>
      </w:r>
      <w:r>
        <w:rPr>
          <w:rFonts w:hint="eastAsia" w:ascii="仿宋_GB2312" w:hAnsi="仿宋_GB2312" w:eastAsia="仿宋_GB2312" w:cs="仿宋_GB2312"/>
          <w:b w:val="0"/>
          <w:bCs w:val="0"/>
          <w:sz w:val="28"/>
          <w:szCs w:val="28"/>
          <w:u w:val="single"/>
        </w:rPr>
        <w:t>/天</w:t>
      </w:r>
      <w:r>
        <w:rPr>
          <w:rFonts w:hint="eastAsia" w:ascii="仿宋_GB2312" w:hAnsi="仿宋_GB2312" w:eastAsia="仿宋_GB2312" w:cs="仿宋_GB2312"/>
          <w:b w:val="0"/>
          <w:bCs w:val="0"/>
          <w:sz w:val="28"/>
          <w:szCs w:val="28"/>
        </w:rPr>
        <w:t>向甲方支付违约金；逾期交货超过10天，甲方有权解除合同，合同自</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rPr>
        <w:t>书面解除通知到达乙方之日起解除，乙方则应按合同总价（每批次货款）的30%向甲方支付违约金，若违约金不足以弥补甲方解除合同的全部损失（包括但不限于律师费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诉讼费、保全费、公证费等维权费用</w:t>
      </w:r>
      <w:r>
        <w:rPr>
          <w:rFonts w:hint="eastAsia" w:ascii="仿宋_GB2312" w:hAnsi="仿宋_GB2312" w:eastAsia="仿宋_GB2312" w:cs="仿宋_GB2312"/>
          <w:b w:val="0"/>
          <w:bCs w:val="0"/>
          <w:sz w:val="28"/>
          <w:szCs w:val="28"/>
        </w:rPr>
        <w:t>、重新采购产生的费用、合同未履行导致设备不能按规划交付使用可能产生的租赁费用及其他由此造成的甲方对第三方的违约损失）的，由乙方另行支付。</w:t>
      </w:r>
    </w:p>
    <w:p w14:paraId="57147EC3">
      <w:pPr>
        <w:keepNext w:val="0"/>
        <w:keepLines w:val="0"/>
        <w:pageBreakBefore w:val="0"/>
        <w:widowControl w:val="0"/>
        <w:tabs>
          <w:tab w:val="left" w:pos="0"/>
        </w:tabs>
        <w:kinsoku/>
        <w:wordWrap/>
        <w:overflowPunct/>
        <w:topLinePunct w:val="0"/>
        <w:autoSpaceDE w:val="0"/>
        <w:autoSpaceDN w:val="0"/>
        <w:bidi w:val="0"/>
        <w:adjustRightInd w:val="0"/>
        <w:spacing w:line="420" w:lineRule="exact"/>
        <w:ind w:firstLine="548" w:firstLineChars="196"/>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（四）因乙方产品内在质量问题，引发甲方生产或质量事故，造成甲方及第三人人身损失、财产损失的，乙方应赔偿甲方为此支付的所有费用（包括但不限于赔偿的费用、必要的律师费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诉讼费、保全费、公证费等维权费用</w:t>
      </w:r>
      <w:r>
        <w:rPr>
          <w:rFonts w:hint="eastAsia" w:ascii="仿宋_GB2312" w:hAnsi="仿宋_GB2312" w:eastAsia="仿宋_GB2312" w:cs="仿宋_GB2312"/>
          <w:b w:val="0"/>
          <w:bCs w:val="0"/>
          <w:sz w:val="28"/>
          <w:szCs w:val="28"/>
        </w:rPr>
        <w:t>、罚款等），此责任不因甲方已进行质量监测而免除。</w:t>
      </w:r>
    </w:p>
    <w:p w14:paraId="1EB68523">
      <w:pPr>
        <w:keepNext w:val="0"/>
        <w:keepLines w:val="0"/>
        <w:pageBreakBefore w:val="0"/>
        <w:widowControl w:val="0"/>
        <w:tabs>
          <w:tab w:val="left" w:pos="0"/>
          <w:tab w:val="center" w:pos="4153"/>
        </w:tabs>
        <w:kinsoku/>
        <w:wordWrap/>
        <w:overflowPunct/>
        <w:topLinePunct w:val="0"/>
        <w:bidi w:val="0"/>
        <w:adjustRightInd/>
        <w:spacing w:line="500" w:lineRule="exact"/>
        <w:ind w:left="0" w:leftChars="0" w:firstLine="0" w:firstLine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十三、合同争议的解决</w:t>
      </w:r>
    </w:p>
    <w:p w14:paraId="62E1135C">
      <w:pPr>
        <w:keepNext w:val="0"/>
        <w:keepLines w:val="0"/>
        <w:pageBreakBefore w:val="0"/>
        <w:widowControl w:val="0"/>
        <w:tabs>
          <w:tab w:val="left" w:pos="0"/>
          <w:tab w:val="center" w:pos="4153"/>
        </w:tabs>
        <w:kinsoku/>
        <w:wordWrap/>
        <w:overflowPunct/>
        <w:topLinePunct w:val="0"/>
        <w:bidi w:val="0"/>
        <w:adjustRightInd/>
        <w:spacing w:line="500" w:lineRule="exact"/>
        <w:ind w:firstLine="57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合同执行中发生争议的，当事人双方应协商解决，无法协商或协商达不成一致时，双方均有权向甲方住所地人民法院提请诉讼。</w:t>
      </w:r>
    </w:p>
    <w:p w14:paraId="1EE42925">
      <w:pPr>
        <w:keepNext w:val="0"/>
        <w:keepLines w:val="0"/>
        <w:pageBreakBefore w:val="0"/>
        <w:widowControl w:val="0"/>
        <w:tabs>
          <w:tab w:val="left" w:pos="0"/>
          <w:tab w:val="center" w:pos="4153"/>
        </w:tabs>
        <w:kinsoku/>
        <w:wordWrap/>
        <w:overflowPunct/>
        <w:topLinePunct w:val="0"/>
        <w:bidi w:val="0"/>
        <w:adjustRightInd/>
        <w:spacing w:line="500" w:lineRule="exact"/>
        <w:ind w:left="0" w:leftChars="0" w:firstLine="0" w:firstLine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十四、合同生效</w:t>
      </w:r>
    </w:p>
    <w:p w14:paraId="668B1119">
      <w:pPr>
        <w:keepNext w:val="0"/>
        <w:keepLines w:val="0"/>
        <w:pageBreakBefore w:val="0"/>
        <w:widowControl w:val="0"/>
        <w:tabs>
          <w:tab w:val="left" w:pos="0"/>
          <w:tab w:val="center" w:pos="4153"/>
        </w:tabs>
        <w:kinsoku/>
        <w:wordWrap/>
        <w:overflowPunct/>
        <w:topLinePunct w:val="0"/>
        <w:bidi w:val="0"/>
        <w:adjustRightInd/>
        <w:spacing w:line="500" w:lineRule="exact"/>
        <w:ind w:firstLine="57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合同一式七份，甲方</w:t>
      </w:r>
      <w:r>
        <w:rPr>
          <w:rFonts w:hint="eastAsia" w:ascii="仿宋_GB2312" w:hAnsi="仿宋_GB2312" w:eastAsia="仿宋_GB2312" w:cs="仿宋_GB2312"/>
          <w:b w:val="0"/>
          <w:bCs w:val="0"/>
          <w:sz w:val="28"/>
          <w:szCs w:val="28"/>
          <w:lang w:val="en-US" w:eastAsia="zh-CN"/>
        </w:rPr>
        <w:t>五</w:t>
      </w:r>
      <w:r>
        <w:rPr>
          <w:rFonts w:hint="eastAsia" w:ascii="仿宋_GB2312" w:hAnsi="仿宋_GB2312" w:eastAsia="仿宋_GB2312" w:cs="仿宋_GB2312"/>
          <w:b w:val="0"/>
          <w:bCs w:val="0"/>
          <w:sz w:val="28"/>
          <w:szCs w:val="28"/>
        </w:rPr>
        <w:t>份、乙方</w:t>
      </w:r>
      <w:r>
        <w:rPr>
          <w:rFonts w:hint="eastAsia" w:ascii="仿宋_GB2312" w:hAnsi="仿宋_GB2312" w:eastAsia="仿宋_GB2312" w:cs="仿宋_GB2312"/>
          <w:b w:val="0"/>
          <w:bCs w:val="0"/>
          <w:sz w:val="28"/>
          <w:szCs w:val="28"/>
          <w:lang w:val="en-US" w:eastAsia="zh-CN"/>
        </w:rPr>
        <w:t>二</w:t>
      </w:r>
      <w:r>
        <w:rPr>
          <w:rFonts w:hint="eastAsia" w:ascii="仿宋_GB2312" w:hAnsi="仿宋_GB2312" w:eastAsia="仿宋_GB2312" w:cs="仿宋_GB2312"/>
          <w:b w:val="0"/>
          <w:bCs w:val="0"/>
          <w:sz w:val="28"/>
          <w:szCs w:val="28"/>
        </w:rPr>
        <w:t>份，均具有同等法律效力。合同经甲方、乙方签字盖章后生效，合同执行完毕后，自动终止（合同的服务承诺则长期有效）。</w:t>
      </w:r>
    </w:p>
    <w:p w14:paraId="3A25DDEB">
      <w:pPr>
        <w:keepNext w:val="0"/>
        <w:keepLines w:val="0"/>
        <w:pageBreakBefore w:val="0"/>
        <w:widowControl w:val="0"/>
        <w:tabs>
          <w:tab w:val="left" w:pos="0"/>
          <w:tab w:val="center" w:pos="4153"/>
        </w:tabs>
        <w:kinsoku/>
        <w:wordWrap/>
        <w:overflowPunct/>
        <w:topLinePunct w:val="0"/>
        <w:bidi w:val="0"/>
        <w:adjustRightInd/>
        <w:spacing w:line="50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十五、其他事项</w:t>
      </w:r>
    </w:p>
    <w:p w14:paraId="0AF7D1EB">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（一）招标文件、投标文件、澄清表（函）、中标通知书、合同附件均成为合同不可分割的部分，与本合同具有同等法律效力。</w:t>
      </w:r>
    </w:p>
    <w:p w14:paraId="659725B3">
      <w:pPr>
        <w:pStyle w:val="6"/>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（二）合同未尽事宜，由甲、乙双方协商签订补充协议，作为合同的补充，与原合同具有同等法律效力，补充协议与原协议不一致的，以补充协议为准。</w:t>
      </w:r>
    </w:p>
    <w:p w14:paraId="6B3FEB72">
      <w:pPr>
        <w:pStyle w:val="6"/>
        <w:keepNext w:val="0"/>
        <w:keepLines w:val="0"/>
        <w:pageBreakBefore w:val="0"/>
        <w:widowControl w:val="0"/>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（三）本合同按照中华人民共和国的现行法律进行解释。</w:t>
      </w:r>
    </w:p>
    <w:p w14:paraId="7E649061">
      <w:pPr>
        <w:keepNext w:val="0"/>
        <w:keepLines w:val="0"/>
        <w:pageBreakBefore w:val="0"/>
        <w:widowControl w:val="0"/>
        <w:tabs>
          <w:tab w:val="left" w:pos="480"/>
        </w:tabs>
        <w:kinsoku/>
        <w:wordWrap/>
        <w:overflowPunct/>
        <w:topLinePunct w:val="0"/>
        <w:bidi w:val="0"/>
        <w:adjustRightInd/>
        <w:spacing w:line="50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（四）本合同附件作为本合同的组成部份，与本合同具有同等法律效力。</w:t>
      </w:r>
    </w:p>
    <w:p w14:paraId="3E8A81D1">
      <w:pPr>
        <w:keepNext w:val="0"/>
        <w:keepLines w:val="0"/>
        <w:pageBreakBefore w:val="0"/>
        <w:tabs>
          <w:tab w:val="left" w:pos="480"/>
        </w:tabs>
        <w:kinsoku/>
        <w:wordWrap/>
        <w:overflowPunct/>
        <w:topLinePunct w:val="0"/>
        <w:bidi w:val="0"/>
        <w:adjustRightInd/>
        <w:spacing w:beforeLines="0" w:afterLines="0" w:line="500" w:lineRule="exact"/>
        <w:ind w:firstLine="560" w:firstLineChars="200"/>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auto"/>
          <w:sz w:val="28"/>
          <w:szCs w:val="28"/>
        </w:rPr>
        <w:t>附件：采购需求。</w:t>
      </w:r>
    </w:p>
    <w:p w14:paraId="455A96FA">
      <w:pPr>
        <w:keepNext w:val="0"/>
        <w:keepLines w:val="0"/>
        <w:pageBreakBefore w:val="0"/>
        <w:tabs>
          <w:tab w:val="left" w:pos="480"/>
        </w:tabs>
        <w:kinsoku/>
        <w:wordWrap/>
        <w:overflowPunct/>
        <w:topLinePunct w:val="0"/>
        <w:bidi w:val="0"/>
        <w:adjustRightInd/>
        <w:spacing w:line="500" w:lineRule="exact"/>
        <w:ind w:firstLine="560" w:firstLineChars="200"/>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（以下无正文）</w:t>
      </w:r>
    </w:p>
    <w:p w14:paraId="4CE68919">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 xml:space="preserve">甲  方（单位公章）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 xml:space="preserve"> 乙  方（单位公章）</w:t>
      </w:r>
    </w:p>
    <w:p w14:paraId="4E926E28">
      <w:pPr>
        <w:keepNext w:val="0"/>
        <w:keepLines w:val="0"/>
        <w:pageBreakBefore w:val="0"/>
        <w:tabs>
          <w:tab w:val="left" w:pos="480"/>
        </w:tabs>
        <w:kinsoku/>
        <w:wordWrap/>
        <w:overflowPunct/>
        <w:topLinePunct w:val="0"/>
        <w:bidi w:val="0"/>
        <w:adjustRightInd/>
        <w:spacing w:line="500" w:lineRule="exact"/>
        <w:ind w:left="5920" w:hanging="5180" w:hangingChars="1850"/>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rPr>
        <w:t xml:space="preserve">单位名称：西安市人民医院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单位名称：</w:t>
      </w:r>
    </w:p>
    <w:p w14:paraId="3FCED4EA">
      <w:pPr>
        <w:keepNext w:val="0"/>
        <w:keepLines w:val="0"/>
        <w:pageBreakBefore w:val="0"/>
        <w:tabs>
          <w:tab w:val="left" w:pos="480"/>
        </w:tabs>
        <w:kinsoku/>
        <w:wordWrap/>
        <w:overflowPunct/>
        <w:topLinePunct w:val="0"/>
        <w:bidi w:val="0"/>
        <w:adjustRightInd/>
        <w:spacing w:line="500" w:lineRule="exact"/>
        <w:ind w:firstLine="1120" w:firstLineChars="400"/>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rPr>
        <w:t>（西安市第四医院）</w:t>
      </w:r>
      <w:r>
        <w:rPr>
          <w:rFonts w:hint="eastAsia" w:ascii="仿宋_GB2312" w:hAnsi="仿宋_GB2312" w:eastAsia="仿宋_GB2312" w:cs="仿宋_GB2312"/>
          <w:b w:val="0"/>
          <w:bCs w:val="0"/>
          <w:color w:val="000000"/>
          <w:sz w:val="28"/>
          <w:szCs w:val="28"/>
          <w:highlight w:val="none"/>
          <w:lang w:val="en-US" w:eastAsia="zh-CN"/>
        </w:rPr>
        <w:t xml:space="preserve">           </w:t>
      </w:r>
    </w:p>
    <w:p w14:paraId="63805238">
      <w:pPr>
        <w:keepNext w:val="0"/>
        <w:keepLines w:val="0"/>
        <w:pageBreakBefore w:val="0"/>
        <w:tabs>
          <w:tab w:val="left" w:pos="480"/>
        </w:tabs>
        <w:kinsoku/>
        <w:wordWrap/>
        <w:overflowPunct/>
        <w:topLinePunct w:val="0"/>
        <w:bidi w:val="0"/>
        <w:adjustRightInd/>
        <w:spacing w:line="500" w:lineRule="exact"/>
        <w:ind w:left="0" w:leftChars="0" w:firstLine="0" w:firstLineChars="0"/>
        <w:jc w:val="both"/>
        <w:rPr>
          <w:rFonts w:hint="default"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rPr>
        <w:t xml:space="preserve">地  址：西安市解放路21号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地  址：</w:t>
      </w:r>
    </w:p>
    <w:p w14:paraId="1483AAAF">
      <w:pPr>
        <w:keepNext w:val="0"/>
        <w:keepLines w:val="0"/>
        <w:pageBreakBefore w:val="0"/>
        <w:tabs>
          <w:tab w:val="left" w:pos="480"/>
        </w:tabs>
        <w:kinsoku/>
        <w:wordWrap/>
        <w:overflowPunct/>
        <w:topLinePunct w:val="0"/>
        <w:bidi w:val="0"/>
        <w:adjustRightInd/>
        <w:spacing w:line="500" w:lineRule="exact"/>
        <w:ind w:left="0" w:leftChars="0" w:firstLine="0" w:firstLineChars="0"/>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 xml:space="preserve">法定代表人：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法定代表人：</w:t>
      </w:r>
    </w:p>
    <w:p w14:paraId="7BD3B3C7">
      <w:pPr>
        <w:pStyle w:val="2"/>
        <w:rPr>
          <w:rFonts w:hint="eastAsia"/>
          <w:lang w:val="en-US" w:eastAsia="zh-CN"/>
        </w:rPr>
      </w:pPr>
    </w:p>
    <w:p w14:paraId="76F2E047">
      <w:pPr>
        <w:keepNext w:val="0"/>
        <w:keepLines w:val="0"/>
        <w:pageBreakBefore w:val="0"/>
        <w:widowControl/>
        <w:kinsoku/>
        <w:wordWrap/>
        <w:overflowPunct/>
        <w:topLinePunct w:val="0"/>
        <w:autoSpaceDE w:val="0"/>
        <w:autoSpaceDN w:val="0"/>
        <w:bidi w:val="0"/>
        <w:adjustRightInd/>
        <w:snapToGrid w:val="0"/>
        <w:spacing w:line="500" w:lineRule="exact"/>
        <w:ind w:left="0" w:leftChars="0" w:right="-154" w:firstLine="0" w:firstLineChars="0"/>
        <w:textAlignment w:val="bottom"/>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联系电话：</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 xml:space="preserve">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开户银行：</w:t>
      </w:r>
    </w:p>
    <w:p w14:paraId="3076546A">
      <w:pPr>
        <w:keepNext w:val="0"/>
        <w:keepLines w:val="0"/>
        <w:pageBreakBefore w:val="0"/>
        <w:tabs>
          <w:tab w:val="left" w:pos="480"/>
        </w:tabs>
        <w:kinsoku/>
        <w:wordWrap/>
        <w:overflowPunct/>
        <w:topLinePunct w:val="0"/>
        <w:bidi w:val="0"/>
        <w:adjustRightInd/>
        <w:spacing w:line="500" w:lineRule="exact"/>
        <w:ind w:right="-720" w:rightChars="-343" w:firstLine="3920" w:firstLineChars="1400"/>
        <w:jc w:val="both"/>
        <w:rPr>
          <w:rFonts w:hint="default" w:ascii="仿宋_GB2312" w:hAnsi="仿宋_GB2312" w:eastAsia="仿宋_GB2312" w:cs="仿宋_GB2312"/>
          <w:b w:val="0"/>
          <w:bCs w:val="0"/>
          <w:color w:val="000000"/>
          <w:kern w:val="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账</w:t>
      </w:r>
      <w:r>
        <w:rPr>
          <w:rFonts w:hint="eastAsia" w:ascii="仿宋_GB2312" w:hAnsi="仿宋_GB2312" w:eastAsia="仿宋_GB2312" w:cs="仿宋_GB2312"/>
          <w:b w:val="0"/>
          <w:bCs w:val="0"/>
          <w:color w:val="000000"/>
          <w:sz w:val="28"/>
          <w:szCs w:val="28"/>
          <w:highlight w:val="none"/>
        </w:rPr>
        <w:t>号：</w:t>
      </w:r>
    </w:p>
    <w:p w14:paraId="38B3F4F3">
      <w:pPr>
        <w:keepNext w:val="0"/>
        <w:keepLines w:val="0"/>
        <w:pageBreakBefore w:val="0"/>
        <w:widowControl/>
        <w:kinsoku/>
        <w:wordWrap/>
        <w:overflowPunct/>
        <w:topLinePunct w:val="0"/>
        <w:autoSpaceDE w:val="0"/>
        <w:autoSpaceDN w:val="0"/>
        <w:bidi w:val="0"/>
        <w:adjustRightInd/>
        <w:snapToGrid w:val="0"/>
        <w:spacing w:line="500" w:lineRule="exact"/>
        <w:ind w:right="-154"/>
        <w:textAlignment w:val="bottom"/>
        <w:rPr>
          <w:rFonts w:hint="default"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rPr>
        <w:t xml:space="preserve">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联系电话：</w:t>
      </w:r>
    </w:p>
    <w:p w14:paraId="5B977E47">
      <w:pPr>
        <w:pStyle w:val="17"/>
        <w:rPr>
          <w:rFonts w:hint="eastAsia"/>
          <w:lang w:val="en-US" w:eastAsia="zh-Hans"/>
        </w:rPr>
      </w:pPr>
      <w:r>
        <w:rPr>
          <w:rFonts w:hint="eastAsia" w:ascii="仿宋_GB2312" w:hAnsi="仿宋_GB2312" w:eastAsia="仿宋_GB2312" w:cs="仿宋_GB2312"/>
          <w:b w:val="0"/>
          <w:bCs w:val="0"/>
          <w:color w:val="000000"/>
          <w:sz w:val="28"/>
          <w:szCs w:val="28"/>
          <w:highlight w:val="none"/>
        </w:rPr>
        <w:t xml:space="preserve">签订日期：   年  月  日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 xml:space="preserve"> </w:t>
      </w:r>
      <w:r>
        <w:rPr>
          <w:rFonts w:hint="eastAsia" w:ascii="仿宋_GB2312" w:hAnsi="仿宋_GB2312" w:eastAsia="仿宋_GB2312" w:cs="仿宋_GB2312"/>
          <w:b w:val="0"/>
          <w:bCs w:val="0"/>
          <w:color w:val="000000"/>
          <w:sz w:val="28"/>
          <w:szCs w:val="28"/>
          <w:highlight w:val="none"/>
          <w:lang w:val="en-US" w:eastAsia="zh-CN"/>
        </w:rPr>
        <w:t xml:space="preserve"> </w:t>
      </w:r>
      <w:r>
        <w:rPr>
          <w:rFonts w:hint="eastAsia" w:ascii="仿宋_GB2312" w:hAnsi="仿宋_GB2312" w:eastAsia="仿宋_GB2312" w:cs="仿宋_GB2312"/>
          <w:b w:val="0"/>
          <w:bCs w:val="0"/>
          <w:color w:val="000000"/>
          <w:sz w:val="28"/>
          <w:szCs w:val="28"/>
          <w:highlight w:val="none"/>
        </w:rPr>
        <w:t>签订日期：    年  月   日</w:t>
      </w:r>
    </w:p>
    <w:p w14:paraId="2C5864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1EF89">
    <w:pPr>
      <w:spacing w:line="211" w:lineRule="auto"/>
      <w:ind w:left="4248"/>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1CF2B">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7D359F"/>
    <w:multiLevelType w:val="singleLevel"/>
    <w:tmpl w:val="6D7D359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19D3530"/>
    <w:rsid w:val="0F4E67C3"/>
    <w:rsid w:val="1432613A"/>
    <w:rsid w:val="1C8C7ED8"/>
    <w:rsid w:val="1D1A0407"/>
    <w:rsid w:val="2B2B0C5C"/>
    <w:rsid w:val="2CDA0B6E"/>
    <w:rsid w:val="30BB6C51"/>
    <w:rsid w:val="3CA91172"/>
    <w:rsid w:val="3E1916B2"/>
    <w:rsid w:val="45E676A8"/>
    <w:rsid w:val="4C3F5B81"/>
    <w:rsid w:val="4ECB55BA"/>
    <w:rsid w:val="4F836B7E"/>
    <w:rsid w:val="58925CB0"/>
    <w:rsid w:val="5D0B1A92"/>
    <w:rsid w:val="5E060E26"/>
    <w:rsid w:val="618B3F3C"/>
    <w:rsid w:val="620C0ED6"/>
    <w:rsid w:val="62C22C7D"/>
    <w:rsid w:val="6371253C"/>
    <w:rsid w:val="65114DB3"/>
    <w:rsid w:val="6B1C04F6"/>
    <w:rsid w:val="6F2F216A"/>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4">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5">
    <w:name w:val="Date"/>
    <w:basedOn w:val="1"/>
    <w:next w:val="1"/>
    <w:qFormat/>
    <w:uiPriority w:val="0"/>
    <w:pPr>
      <w:adjustRightInd w:val="0"/>
      <w:spacing w:line="312" w:lineRule="atLeast"/>
      <w:textAlignment w:val="baseline"/>
    </w:pPr>
    <w:rPr>
      <w:rFonts w:eastAsia="楷体_GB2312"/>
      <w:b/>
      <w:kern w:val="0"/>
      <w:szCs w:val="20"/>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字符"/>
    <w:link w:val="12"/>
    <w:qFormat/>
    <w:uiPriority w:val="0"/>
    <w:rPr>
      <w:rFonts w:hint="eastAsia" w:ascii="宋体" w:hAnsi="宋体"/>
      <w:b/>
      <w:bCs/>
      <w:kern w:val="44"/>
      <w:sz w:val="48"/>
      <w:szCs w:val="48"/>
    </w:rPr>
  </w:style>
  <w:style w:type="paragraph" w:customStyle="1" w:styleId="12">
    <w:name w:val="标题 11"/>
    <w:basedOn w:val="1"/>
    <w:link w:val="11"/>
    <w:qFormat/>
    <w:uiPriority w:val="0"/>
    <w:pPr>
      <w:spacing w:beforeAutospacing="1" w:afterAutospacing="1"/>
      <w:jc w:val="left"/>
      <w:outlineLvl w:val="0"/>
    </w:pPr>
    <w:rPr>
      <w:rFonts w:hint="eastAsia" w:ascii="宋体" w:hAnsi="宋体"/>
      <w:b/>
      <w:bCs/>
      <w:kern w:val="44"/>
      <w:sz w:val="48"/>
      <w:szCs w:val="48"/>
    </w:rPr>
  </w:style>
  <w:style w:type="character" w:customStyle="1" w:styleId="13">
    <w:name w:val="页眉 字符"/>
    <w:basedOn w:val="10"/>
    <w:link w:val="7"/>
    <w:qFormat/>
    <w:uiPriority w:val="0"/>
    <w:rPr>
      <w:kern w:val="2"/>
      <w:sz w:val="18"/>
      <w:szCs w:val="18"/>
    </w:rPr>
  </w:style>
  <w:style w:type="character" w:customStyle="1" w:styleId="14">
    <w:name w:val="页脚 字符"/>
    <w:basedOn w:val="10"/>
    <w:link w:val="6"/>
    <w:qFormat/>
    <w:uiPriority w:val="0"/>
    <w:rPr>
      <w:kern w:val="2"/>
      <w:sz w:val="18"/>
      <w:szCs w:val="18"/>
    </w:rPr>
  </w:style>
  <w:style w:type="paragraph" w:styleId="15">
    <w:name w:val="List Paragraph"/>
    <w:basedOn w:val="1"/>
    <w:qFormat/>
    <w:uiPriority w:val="34"/>
    <w:pPr>
      <w:ind w:firstLine="420" w:firstLineChars="200"/>
    </w:pPr>
  </w:style>
  <w:style w:type="paragraph" w:customStyle="1" w:styleId="16">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able Text"/>
    <w:basedOn w:val="1"/>
    <w:semiHidden/>
    <w:qFormat/>
    <w:uiPriority w:val="0"/>
    <w:rPr>
      <w:rFonts w:ascii="宋体" w:hAnsi="宋体" w:eastAsia="宋体" w:cs="宋体"/>
      <w:sz w:val="20"/>
      <w:szCs w:val="20"/>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7008</Words>
  <Characters>7292</Characters>
  <Lines>25</Lines>
  <Paragraphs>7</Paragraphs>
  <TotalTime>0</TotalTime>
  <ScaleCrop>false</ScaleCrop>
  <LinksUpToDate>false</LinksUpToDate>
  <CharactersWithSpaces>8453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2025-10-29T09:07:26Z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eyJoZGlkIjoiNzgwNjczN2Q1OTVkMWNkMTQxODAzYzYyZWYzMjAxZjgiLCJ1c2VySWQiOiIyNDE1Nzk0OTUifQ==</vt:lpwstr>
  </property>
</Properties>
</file>