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版本号：ZYTT-2025100320251030001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奉正塬殡仪馆节地生态公益性墓区建设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ZYTT-20251003</w:t>
      </w:r>
      <w:r>
        <w:br/>
      </w:r>
      <w:r>
        <w:br/>
      </w:r>
      <w:r>
        <w:br/>
      </w:r>
    </w:p>
    <w:p>
      <w:pPr>
        <w:pStyle w:val="null3"/>
        <w:jc w:val="center"/>
        <w:outlineLvl w:val="2"/>
      </w:pPr>
      <w:r>
        <w:rPr>
          <w:rFonts w:ascii="仿宋_GB2312" w:hAnsi="仿宋_GB2312" w:cs="仿宋_GB2312" w:eastAsia="仿宋_GB2312"/>
          <w:sz w:val="28"/>
          <w:b/>
        </w:rPr>
        <w:t>西安市奉正塬殡仪馆</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西安市奉正塬殡仪馆</w:t>
      </w:r>
      <w:r>
        <w:rPr>
          <w:rFonts w:ascii="仿宋_GB2312" w:hAnsi="仿宋_GB2312" w:cs="仿宋_GB2312" w:eastAsia="仿宋_GB2312"/>
        </w:rPr>
        <w:t>委托，拟对</w:t>
      </w:r>
      <w:r>
        <w:rPr>
          <w:rFonts w:ascii="仿宋_GB2312" w:hAnsi="仿宋_GB2312" w:cs="仿宋_GB2312" w:eastAsia="仿宋_GB2312"/>
        </w:rPr>
        <w:t>奉正塬殡仪馆节地生态公益性墓区建设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奉正塬殡仪馆节地生态公益性墓区建设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西安市奉正塬殡仪馆节地生态公益性墓区建设项目主要包括：室外壁葬、草坪葬、花坛葬、景观铺装、绿化工程等，具体内容详见图纸及工程量清单。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采购包1（西安市奉正塬殡仪馆节地生态公益性墓区建设项目）：属于专门面向中小企业采购。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1、资质等级：具备建筑行政主管部门颁发的建筑工程施工总承包三级及以上资质；具有合格有效的安全生产许可证。</w:t>
      </w:r>
    </w:p>
    <w:p>
      <w:pPr>
        <w:pStyle w:val="null3"/>
      </w:pPr>
      <w:r>
        <w:rPr>
          <w:rFonts w:ascii="仿宋_GB2312" w:hAnsi="仿宋_GB2312" w:cs="仿宋_GB2312" w:eastAsia="仿宋_GB2312"/>
        </w:rPr>
        <w:t>2、拟派项目负责人资质和专业要求：拟派项目负责人具备建设行政主管部门颁发的建筑工程专业二级及以上注册建造师证书及其本人安全生产考核合格证。</w:t>
      </w:r>
    </w:p>
    <w:p>
      <w:pPr>
        <w:pStyle w:val="null3"/>
      </w:pPr>
      <w:r>
        <w:rPr>
          <w:rFonts w:ascii="仿宋_GB2312" w:hAnsi="仿宋_GB2312" w:cs="仿宋_GB2312" w:eastAsia="仿宋_GB2312"/>
        </w:rPr>
        <w:t>3、供应商及项目负责人基本信息：供应商及项目负责人基本信息在“陕西建设网（http://js.shaanxi.gov.cn/）陕西省建筑市场监管与诚信信息发布平台“可查询且无不良信用。</w:t>
      </w:r>
    </w:p>
    <w:p>
      <w:pPr>
        <w:pStyle w:val="null3"/>
      </w:pPr>
      <w:r>
        <w:rPr>
          <w:rFonts w:ascii="仿宋_GB2312" w:hAnsi="仿宋_GB2312" w:cs="仿宋_GB2312" w:eastAsia="仿宋_GB2312"/>
        </w:rPr>
        <w:t>4、信用记录：未被列入“信用中国”网站及“中国政府采购网”网站失信被执行人、 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西安市奉正塬殡仪馆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陕西省西安市高陵区马北村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西安市奉正塬殡仪馆经办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13186161631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贾瑞、吕前惠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代理服务费收费标准：1、代理服务费的收取参照（发改办价格[2011]534号）收费标准计取 2、代理服务费账户： 户 名：陕西中裕天腾项目管理有限公司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西安市奉正塬殡仪馆</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西安市奉正塬殡仪馆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西安市奉正塬殡仪馆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联系人：贾瑞</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684,481.42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西安市奉正塬殡仪馆节地生态公益性墓区建设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标的名称：西安市奉正塬殡仪馆节地生态公益性墓区建设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质量要求：合格，必须符合国家、行业、省、市现行法规、规范及标准的合格标准。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采购范围：该项目磋商文件、图纸及工程量清单内全部内容。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60日历天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保修期：项目整体保修期为工程竣工验收合格后不少于</w:t>
            </w:r>
            <w:r>
              <w:rPr>
                <w:rFonts w:ascii="仿宋_GB2312" w:hAnsi="仿宋_GB2312" w:cs="仿宋_GB2312" w:eastAsia="仿宋_GB2312"/>
                <w:sz w:val="21"/>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具体执行现行建筑工程行业技术标准规范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电子投标文件制作过程中，需要法定代表人签字或盖章的地方，请使用“法人CA锁”进行签章或直接签字或盖章；文件需要逐页加盖供应商公章或使用“CA锁”进行逐页盖章。2、成交供应商在领取成交通知书前，须向采购代理机构提供2套纸质版响应文件，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成立时间至提交投标文件截止时间不足一年的可提供成立后任意时段的资产负债表）或提交投标文件截止时间前六个月内其基本账户开户银行出具的资信证明及基本存款账户信息或信用担保机构出具的投标担保函；其他组织和自然人提供银行出具的资信证明或财务报表； 3、税收缴纳证明：提供供应商2024年10月份至今已缴纳任意一个月完税凭证或税务机关开具的完税证明（任意税种）；依法免税的应提供税务机关开具的免税证明； 4、社会保障资金缴纳证明：提供供应商2024年10月份至今已缴纳任意一个月的社会保障完税证明或社保机构开具的社会保险参保缴费情况证明；依法不需要缴纳社会保障资金的应提供相关文件证明；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经审计的2024年度的财务报告（成立时间至提交投标文件截止时间不足一年的可提供成立后任意时段的资产负债表或在工商管理部门备案的公司章程）或提交投标文件截止时间前六个月内其基本账户开户银行出具的资信证明及基本存款账户信息或信用担保机构出具的投标担保函；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具备建筑行政主管部门颁发的建筑工程施工总承包三级及以上资质；具有合格有效的安全生产许可证。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拟派项目负责人具备建设行政主管部门颁发的建筑工程专业二级及以上注册建造师证书及其本人安全生产考核合格证。</w:t>
            </w:r>
          </w:p>
        </w:tc>
        <w:tc>
          <w:tcPr>
            <w:tcW w:type="dxa" w:w="1661"/>
          </w:tcPr>
          <w:p>
            <w:pPr>
              <w:pStyle w:val="null3"/>
            </w:pPr>
            <w:r>
              <w:rPr>
                <w:rFonts w:ascii="仿宋_GB2312" w:hAnsi="仿宋_GB2312" w:cs="仿宋_GB2312" w:eastAsia="仿宋_GB2312"/>
              </w:rPr>
              <w:t>项目管理机构组成表 供应商应提供的资格证明文件.docx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供应商及项目负责人基本信息</w:t>
            </w:r>
          </w:p>
        </w:tc>
        <w:tc>
          <w:tcPr>
            <w:tcW w:type="dxa" w:w="3322"/>
          </w:tcPr>
          <w:p>
            <w:pPr>
              <w:pStyle w:val="null3"/>
            </w:pPr>
            <w:r>
              <w:rPr>
                <w:rFonts w:ascii="仿宋_GB2312" w:hAnsi="仿宋_GB2312" w:cs="仿宋_GB2312" w:eastAsia="仿宋_GB2312"/>
              </w:rPr>
              <w:t>供应商及项目负责人基本信息在“陕西建设网（http://js.shaanxi.gov.cn/）陕西省建筑市场监管与诚信信息发布平台“可查询且无不良信用。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安全生产管理体系与措施.docx 已标价工程量清单 供应商应提供的资格证明文件.docx 中小企业声明函 授权委托书.docx 技术服务合同条款及其他商务要求应答表 文明施工管理体系与措施.docx 响应文件封面 环境保护管理体系与措施.docx 项目管理机构组成表 施工进度计划与保证措施.docx 残疾人福利性单位声明函 质量保证管理体系与措施.docx 保修期服务方案.docx 供应商类似项目业绩一览表 新技术、新产品、新工艺、新材料应用.docx 响应函 施工方案及技术措施.docx 项目部组成人员.docx 材料投入计划及劳动力计划安排.docx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符合采购文件、合法有效。</w:t>
            </w:r>
          </w:p>
        </w:tc>
        <w:tc>
          <w:tcPr>
            <w:tcW w:type="dxa" w:w="1661"/>
          </w:tcPr>
          <w:p>
            <w:pPr>
              <w:pStyle w:val="null3"/>
            </w:pPr>
            <w:r>
              <w:rPr>
                <w:rFonts w:ascii="仿宋_GB2312" w:hAnsi="仿宋_GB2312" w:cs="仿宋_GB2312" w:eastAsia="仿宋_GB2312"/>
              </w:rPr>
              <w:t>响应文件封面 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符合采购文件、合法有效。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 ；（2）报价货币符合采购文件要求；（3）未超出采购文件规定的最高限价。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质量等级</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完全理解并响应磋商项目技术、服务、商务及其他要求，且未含有采购人不能接受的附加条件的。</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1、供应商提供本项目施工方案，包含：①施工工艺；②施工方法；③技术措施。2、评审标准： 完整性：内容须全面，对评审内容中的各项要求有详细描述； 可实施性：切合本项目实际情况，实施步骤清晰、合理； 针对性：方案能够紧扣项目实际情况，内容科学合理。 3、赋分标准（满分9分） ①施工工艺：每完全满足一个评审标准得1分，基本满足得0.5分，不满足得0分，满分3分； ②施工方法：每完全满足一个评审标准得1分，基本满足得0.5分，不满足得0分，满分3分； ③技术措施：每完全满足一个评审标准得1分，基本满足得0.5分，不满足得0分，满分3分。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施工方案及技术措施.docx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1、供应商提供针对本项目的质量管理方案，包含：① 质量管理体系；② 质量保证措施。 2、评审标准： 完整性：内容须全面，对评审内容中的各项要求有详细描述； 可实施性：切合本项目实际情况，实施步骤清晰、合理； 针对性：方案能够紧扣项目实际情况，内容科学合理。 3、赋分标准（满分6分） ①质量管理体系：每完全满足一个评审标准得1分，基本满足得0.5分，不满足得0分，满分3分； ②质量保证措施：每完全满足一个评审标准得1分，基本满足得0.5分，不满足得0分，满分3分。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质量保证管理体系与措施.docx</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1、供应商提供针对本项目的项目进度计划，包含：①进度计划清单；②进度保障措施。 2、评审标准： 完整性：内容须全面，对评审内容中的各项要求有详细描述； 可实施性：切合本项目实际情况，实施步骤清晰、合理； 针对性：方案能够紧扣项目实际情况，内容科学合理。 3、赋分标准（满分6分） ①进度计划清单：每完全满足一个评审标准得1分，基本满足得0.5分，不满足得0分，满分3分； ②进度保障措施：每完全满足一个评审标准得1分，基本满足得0.5分，不满足得0分，满分3分。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施工进度计划与保证措施.docx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1、供应商提供针对本项目的人员配备方案，包含：①项目部人员组成及架构；②项目部人员岗位职责 2、评审标准： 完整性：内容须全面，对评审内容中的各项要求有详细描述； 可实施性：切合本项目实际情况，实施步骤清晰、合理； 针对性：方案能够紧扣项目实际情况，内容科学合理。 3、赋分标准（满分6分） ①项目部人员组成及架构：每完全满足一个评审标准得1分，基本满足得0.5分，不满足得0分，满分3分； ②项目部人员岗位职责：每完全满足一个评审标准得1分，基本满足得0.5分，不满足得0分，满分3分。 2、项目经理为高级职称的得3分，中级职称的得1分，其余不得分。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项目部组成人员.docx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1、供应商提供针对本项目的安全管理方案，包含：①安全管理体系与目标；②安全管理措施； 2、评审标准： 完整性：内容须全面，对评审内容中的各项要求有详细描述； 可实施性：切合本项目实际情况，实施步骤清晰、合理； 针对性：方案能够紧扣项目实际情况，内容科学合理。 3、赋分标准（满分6分） ①安全管理体系与目标：每完全满足一个评审标准得1分，基本满足得0.5分，不满足得0分，满分3分； ②安全管理措施：每完全满足一个评审标准得1分，基本满足得0.5分，不满足得0分，满分3分。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安全生产管理体系与措施.docx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1、供应商提供针对本项目的环保方案，包含：①环境保护管理体系与措施；②现场扬尘预防措施。 2、评审标准： 完整性：内容须全面，对评审内容中的各项要求有详细描述； 可实施性：切合本项目实际情况，实施步骤清晰、合理； 针对性：方案能够紧扣项目实际情况，内容科学合理。 3、赋分标准（满分6分） ①环境保护管理体系与措施：每完全满足一个评审标准得0.5分，不满足得0分，满分1.5分； ②现场扬尘预防措施：每完全满足一个评审标准得0.5分，不满足得0分，满分1.5分。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环境保护管理体系与措施.docx</w:t>
            </w:r>
          </w:p>
        </w:tc>
      </w:tr>
      <w:tr>
        <w:tc>
          <w:tcPr>
            <w:tcW w:type="dxa" w:w="831"/>
            <w:vMerge/>
          </w:tcPr>
          <w:p/>
        </w:tc>
        <w:tc>
          <w:tcPr>
            <w:tcW w:type="dxa" w:w="1661"/>
          </w:tcPr>
          <w:p>
            <w:pPr>
              <w:pStyle w:val="null3"/>
            </w:pPr>
            <w:r>
              <w:rPr>
                <w:rFonts w:ascii="仿宋_GB2312" w:hAnsi="仿宋_GB2312" w:cs="仿宋_GB2312" w:eastAsia="仿宋_GB2312"/>
              </w:rPr>
              <w:t>文明施工管理体系与措施</w:t>
            </w:r>
          </w:p>
        </w:tc>
        <w:tc>
          <w:tcPr>
            <w:tcW w:type="dxa" w:w="2492"/>
          </w:tcPr>
          <w:p>
            <w:pPr>
              <w:pStyle w:val="null3"/>
            </w:pPr>
            <w:r>
              <w:rPr>
                <w:rFonts w:ascii="仿宋_GB2312" w:hAnsi="仿宋_GB2312" w:cs="仿宋_GB2312" w:eastAsia="仿宋_GB2312"/>
              </w:rPr>
              <w:t>1、供应商提供针对本项目的文明施工管理体系与措施方案，包含：① 文明施工管理体系；② 文明施工保证措施。 2、评审标准： 完整性：内容须全面，对评审内容中的各项要求有详细描述； 可实施性：切合本项目实际情况，实施步骤清晰、合理； 针对性：方案能够紧扣项目实际情况，内容科学合理。 3、赋分标准（满分6分） ①文明施工管理体系：每完全满足一个评审标准得1分，基本满足得0.5分，不满足得0分，满分3分； ②文明施工保证措施：每完全满足一个评审标准得1分，基本满足得0.5分，不满足得0分，满分3分。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文明施工管理体系与措施.docx</w:t>
            </w:r>
          </w:p>
        </w:tc>
      </w:tr>
      <w:tr>
        <w:tc>
          <w:tcPr>
            <w:tcW w:type="dxa" w:w="831"/>
            <w:vMerge/>
          </w:tcPr>
          <w:p/>
        </w:tc>
        <w:tc>
          <w:tcPr>
            <w:tcW w:type="dxa" w:w="1661"/>
          </w:tcPr>
          <w:p>
            <w:pPr>
              <w:pStyle w:val="null3"/>
            </w:pPr>
            <w:r>
              <w:rPr>
                <w:rFonts w:ascii="仿宋_GB2312" w:hAnsi="仿宋_GB2312" w:cs="仿宋_GB2312" w:eastAsia="仿宋_GB2312"/>
              </w:rPr>
              <w:t>材料投入计划及劳动力计划安排</w:t>
            </w:r>
          </w:p>
        </w:tc>
        <w:tc>
          <w:tcPr>
            <w:tcW w:type="dxa" w:w="2492"/>
          </w:tcPr>
          <w:p>
            <w:pPr>
              <w:pStyle w:val="null3"/>
            </w:pPr>
            <w:r>
              <w:rPr>
                <w:rFonts w:ascii="仿宋_GB2312" w:hAnsi="仿宋_GB2312" w:cs="仿宋_GB2312" w:eastAsia="仿宋_GB2312"/>
              </w:rPr>
              <w:t>1、供应商提供针对本项目的材料投入计划及劳动力计划安排，包含：① 材料投入计划；② 劳动力计划安排。 2、评审标准： 完整性：内容须全面，对评审内容中的各项要求有详细描述； 可实施性：切合本项目实际情况，实施步骤清晰、合理； 针对性：方案能够紧扣项目实际情况，内容科学合理。 3、赋分标准（满分6分） ①材料投入计划：每完全满足一个评审标准得1分，基本满足得0.5分，不满足得0分，满分3分； ②劳动力计划安排：每完全满足一个评审标准得1分，基本满足得0.5分，不满足得0分，满分3分。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材料投入计划及劳动力计划安排.docx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1、供应商新技术、新产品、新工艺、新材料应用，具有先进性，得1分；2、、供应商新技术、新产品、新工艺、新材料应用，具可行性，得2分。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新技术、新产品、新工艺、新材料应用.docx</w:t>
            </w:r>
          </w:p>
        </w:tc>
      </w:tr>
      <w:tr>
        <w:tc>
          <w:tcPr>
            <w:tcW w:type="dxa" w:w="831"/>
            <w:vMerge/>
          </w:tcPr>
          <w:p/>
        </w:tc>
        <w:tc>
          <w:tcPr>
            <w:tcW w:type="dxa" w:w="1661"/>
          </w:tcPr>
          <w:p>
            <w:pPr>
              <w:pStyle w:val="null3"/>
            </w:pPr>
            <w:r>
              <w:rPr>
                <w:rFonts w:ascii="仿宋_GB2312" w:hAnsi="仿宋_GB2312" w:cs="仿宋_GB2312" w:eastAsia="仿宋_GB2312"/>
              </w:rPr>
              <w:t>保修期服务方案</w:t>
            </w:r>
          </w:p>
        </w:tc>
        <w:tc>
          <w:tcPr>
            <w:tcW w:type="dxa" w:w="2492"/>
          </w:tcPr>
          <w:p>
            <w:pPr>
              <w:pStyle w:val="null3"/>
            </w:pPr>
            <w:r>
              <w:rPr>
                <w:rFonts w:ascii="仿宋_GB2312" w:hAnsi="仿宋_GB2312" w:cs="仿宋_GB2312" w:eastAsia="仿宋_GB2312"/>
              </w:rPr>
              <w:t>1、供应商提供针对本项目的保修期服务方案，①保修期服务方案；②处理问题的时效性保障措施。 2、评审标准： 完整性：内容须全面，对评审内容中的各项要求有详细描述； 可实施性：切合本项目实际情况，实施步骤清晰、合理； 针对性：方案能够紧扣项目实际情况，内容科学合理。 3、赋分标准（满分3分） ①质保期服务方案：每完全满足一个评审标准得1分，基本满足得0.5分，不满足得0分，满分3分； ②处理质保问题时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保修期服务方案.docx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2022年10月1日起至今，供应商提供类似项目业绩（以合同复印件加盖公章、时间以合同签订日期为准），每提供1份有效业绩得2分，最多得10分。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价格分采用低价优先法计算，有效供应商的最低报价为基准价得30分，其他各供应商的报价得分按下列公式计算：（基准价/响应报价）×30％×100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详见附件：施工方案及技术措施.docx</w:t>
      </w:r>
    </w:p>
    <w:p>
      <w:pPr>
        <w:pStyle w:val="null3"/>
        <w:ind w:firstLine="960"/>
      </w:pPr>
      <w:r>
        <w:rPr>
          <w:rFonts w:ascii="仿宋_GB2312" w:hAnsi="仿宋_GB2312" w:cs="仿宋_GB2312" w:eastAsia="仿宋_GB2312"/>
        </w:rPr>
        <w:t>详见附件：质量保证管理体系与措施.docx</w:t>
      </w:r>
    </w:p>
    <w:p>
      <w:pPr>
        <w:pStyle w:val="null3"/>
        <w:ind w:firstLine="960"/>
      </w:pPr>
      <w:r>
        <w:rPr>
          <w:rFonts w:ascii="仿宋_GB2312" w:hAnsi="仿宋_GB2312" w:cs="仿宋_GB2312" w:eastAsia="仿宋_GB2312"/>
        </w:rPr>
        <w:t>详见附件：施工进度计划与保证措施.docx</w:t>
      </w:r>
    </w:p>
    <w:p>
      <w:pPr>
        <w:pStyle w:val="null3"/>
        <w:ind w:firstLine="960"/>
      </w:pPr>
      <w:r>
        <w:rPr>
          <w:rFonts w:ascii="仿宋_GB2312" w:hAnsi="仿宋_GB2312" w:cs="仿宋_GB2312" w:eastAsia="仿宋_GB2312"/>
        </w:rPr>
        <w:t>详见附件：项目部组成人员.docx</w:t>
      </w:r>
    </w:p>
    <w:p>
      <w:pPr>
        <w:pStyle w:val="null3"/>
        <w:ind w:firstLine="960"/>
      </w:pPr>
      <w:r>
        <w:rPr>
          <w:rFonts w:ascii="仿宋_GB2312" w:hAnsi="仿宋_GB2312" w:cs="仿宋_GB2312" w:eastAsia="仿宋_GB2312"/>
        </w:rPr>
        <w:t>详见附件：安全生产管理体系与措施.docx</w:t>
      </w:r>
    </w:p>
    <w:p>
      <w:pPr>
        <w:pStyle w:val="null3"/>
        <w:ind w:firstLine="960"/>
      </w:pPr>
      <w:r>
        <w:rPr>
          <w:rFonts w:ascii="仿宋_GB2312" w:hAnsi="仿宋_GB2312" w:cs="仿宋_GB2312" w:eastAsia="仿宋_GB2312"/>
        </w:rPr>
        <w:t>详见附件：环境保护管理体系与措施.docx</w:t>
      </w:r>
    </w:p>
    <w:p>
      <w:pPr>
        <w:pStyle w:val="null3"/>
        <w:ind w:firstLine="960"/>
      </w:pPr>
      <w:r>
        <w:rPr>
          <w:rFonts w:ascii="仿宋_GB2312" w:hAnsi="仿宋_GB2312" w:cs="仿宋_GB2312" w:eastAsia="仿宋_GB2312"/>
        </w:rPr>
        <w:t>详见附件：文明施工管理体系与措施.docx</w:t>
      </w:r>
    </w:p>
    <w:p>
      <w:pPr>
        <w:pStyle w:val="null3"/>
        <w:ind w:firstLine="960"/>
      </w:pPr>
      <w:r>
        <w:rPr>
          <w:rFonts w:ascii="仿宋_GB2312" w:hAnsi="仿宋_GB2312" w:cs="仿宋_GB2312" w:eastAsia="仿宋_GB2312"/>
        </w:rPr>
        <w:t>详见附件：材料投入计划及劳动力计划安排.docx</w:t>
      </w:r>
    </w:p>
    <w:p>
      <w:pPr>
        <w:pStyle w:val="null3"/>
        <w:ind w:firstLine="960"/>
      </w:pPr>
      <w:r>
        <w:rPr>
          <w:rFonts w:ascii="仿宋_GB2312" w:hAnsi="仿宋_GB2312" w:cs="仿宋_GB2312" w:eastAsia="仿宋_GB2312"/>
        </w:rPr>
        <w:t>详见附件：新技术、新产品、新工艺、新材料应用.docx</w:t>
      </w:r>
    </w:p>
    <w:p>
      <w:pPr>
        <w:pStyle w:val="null3"/>
        <w:ind w:firstLine="960"/>
      </w:pPr>
      <w:r>
        <w:rPr>
          <w:rFonts w:ascii="仿宋_GB2312" w:hAnsi="仿宋_GB2312" w:cs="仿宋_GB2312" w:eastAsia="仿宋_GB2312"/>
        </w:rPr>
        <w:t>详见附件：保修期服务方案.docx</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详见附件：节地生态公益性墓区建设项目施工合同.docx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