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版本号：SDZC2025--18920251029001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2026年春节慰问品采购项目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SDZC2025--189</w:t>
      </w:r>
      <w:r>
        <w:br/>
      </w:r>
      <w:r>
        <w:br/>
      </w:r>
      <w:r>
        <w:br/>
      </w:r>
    </w:p>
    <w:p>
      <w:pPr>
        <w:pStyle w:val="null3"/>
        <w:jc w:val="center"/>
        <w:outlineLvl w:val="2"/>
      </w:pPr>
      <w:r>
        <w:rPr>
          <w:rFonts w:ascii="仿宋_GB2312" w:hAnsi="仿宋_GB2312" w:cs="仿宋_GB2312" w:eastAsia="仿宋_GB2312"/>
          <w:sz w:val="28"/>
          <w:b/>
        </w:rPr>
        <w:t>西安市文化和旅游局离退休人员服务中心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西安市文化和旅游局离退休人员服务中心</w:t>
      </w:r>
      <w:r>
        <w:rPr>
          <w:rFonts w:ascii="仿宋_GB2312" w:hAnsi="仿宋_GB2312" w:cs="仿宋_GB2312" w:eastAsia="仿宋_GB2312"/>
        </w:rPr>
        <w:t>委托，拟对</w:t>
      </w:r>
      <w:r>
        <w:rPr>
          <w:rFonts w:ascii="仿宋_GB2312" w:hAnsi="仿宋_GB2312" w:cs="仿宋_GB2312" w:eastAsia="仿宋_GB2312"/>
        </w:rPr>
        <w:t>2026年春节慰问品采购项目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SDZC2025--189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2026年春节慰问品采购项目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西安市文化和旅游局离退休人员服务中心2026年春节慰问品采购项目,主要针对西安市文化和旅游局离退休人员服务中心人员采购1720份慰问品，包括面粉、植物油、大米。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2024年度财务报告（成立时间至开标时间不足一年的可提供成立后任意时段的资产负债表）或开标前六个月内（2025年5月至2025年10月）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3、税收缴纳证明：税收缴纳证明：提供截止至开标时间前一年内（2024年11月至2025年10月）任意一个月的税收缴纳凭据；（增值税、企业所得税至少提供一种，依法免税的供应商应提供相关文件证明）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2025年5月至2025年10月）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7、企业资质：投标人为生产厂家的须提供《食品生产许可证》；代理商须提供本单位《食品经营许可证》或《预包装食品经营者备案表》及生产厂家的《食品生产许可证》；</w:t>
      </w:r>
    </w:p>
    <w:p>
      <w:pPr>
        <w:pStyle w:val="null3"/>
      </w:pPr>
      <w:r>
        <w:rPr>
          <w:rFonts w:ascii="仿宋_GB2312" w:hAnsi="仿宋_GB2312" w:cs="仿宋_GB2312" w:eastAsia="仿宋_GB2312"/>
        </w:rPr>
        <w:t>8、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响应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单位负责人为同一人或者存在直接控股、管理关系的不同供应商，不得参加同一合同项下的政府采购活动。(此项在磋商响应截止日当天在“国家企业信用信息公示系统”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西安市文化和旅游局离退休人员服务中心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029-87365797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宋薇（2号工位）、姚文霄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2、账号信息 （1）开户行名称：陕西上德招标有限公司 （2）开 户 行：西安银行股份有限公司文景路支行 （3）账 号：707011510000013522 财务部联系方式：029-86673953、86518381、89299829、89293231 转813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西安市文化和旅游局离退休人员服务中心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西安市文化和旅游局离退休人员服务中心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以合同、招投标文件、澄清、及国家相应的标准、规范等为依据。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联系人：宋薇（2号工位）</w:t>
      </w:r>
    </w:p>
    <w:p>
      <w:pPr>
        <w:pStyle w:val="null3"/>
      </w:pPr>
      <w:r>
        <w:rPr>
          <w:rFonts w:ascii="仿宋_GB2312" w:hAnsi="仿宋_GB2312" w:cs="仿宋_GB2312" w:eastAsia="仿宋_GB2312"/>
        </w:rPr>
        <w:t>联系电话：029-86673953、029-86518381、029-89299829、029-89293231 转802</w:t>
      </w:r>
    </w:p>
    <w:p>
      <w:pPr>
        <w:pStyle w:val="null3"/>
      </w:pPr>
      <w:r>
        <w:rPr>
          <w:rFonts w:ascii="仿宋_GB2312" w:hAnsi="仿宋_GB2312" w:cs="仿宋_GB2312" w:eastAsia="仿宋_GB2312"/>
        </w:rPr>
        <w:t>地址：陕西上德招标有限公司（西安市经开区凤城八路正尚国际金融广场A座7层703（张家堡转盘东南角））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西安市文化和旅游局离退休人员服务中心2026年春节慰问品采购项目,主要针对西安市文化和旅游局离退休人员服务中心人员采购1720份慰问品，包括面粉、植物油、大米。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602,000.00</w:t>
      </w:r>
    </w:p>
    <w:p>
      <w:pPr>
        <w:pStyle w:val="null3"/>
      </w:pPr>
      <w:r>
        <w:rPr>
          <w:rFonts w:ascii="仿宋_GB2312" w:hAnsi="仿宋_GB2312" w:cs="仿宋_GB2312" w:eastAsia="仿宋_GB2312"/>
        </w:rPr>
        <w:t>采购包最高限价（元）: 602,000.00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2026年春节慰问品采购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标的名称：2026年春节慰问品采购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西安市文化和旅游局离退休人员服务中心2026年春节慰问品采购，主要针对西安市文化和旅游局离退休人员服务中心人员采购1720份慰问品，包括面粉、植物油、大米。</w:t>
            </w:r>
          </w:p>
          <w:p>
            <w:pPr>
              <w:pStyle w:val="null3"/>
            </w:pPr>
            <w:r>
              <w:rPr>
                <w:rFonts w:ascii="仿宋_GB2312" w:hAnsi="仿宋_GB2312" w:cs="仿宋_GB2312" w:eastAsia="仿宋_GB2312"/>
              </w:rPr>
              <w:t xml:space="preserve"> 1. 采购需求：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1702"/>
                  <w:gridSpan w:val="2"/>
                </w:tcPr>
                <w:p>
                  <w:pPr>
                    <w:pStyle w:val="null3"/>
                  </w:pPr>
                  <w:r>
                    <w:rPr>
                      <w:rFonts w:ascii="仿宋_GB2312" w:hAnsi="仿宋_GB2312" w:cs="仿宋_GB2312" w:eastAsia="仿宋_GB2312"/>
                    </w:rPr>
                    <w:t>产品名称（规格）</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东北大米：每袋5kg*2袋</w:t>
                  </w:r>
                </w:p>
                <w:p>
                  <w:pPr>
                    <w:pStyle w:val="null3"/>
                  </w:pPr>
                  <w:r>
                    <w:rPr>
                      <w:rFonts w:ascii="仿宋_GB2312" w:hAnsi="仿宋_GB2312" w:cs="仿宋_GB2312" w:eastAsia="仿宋_GB2312"/>
                    </w:rPr>
                    <w:t>执行标准：GB/T19266</w:t>
                  </w:r>
                </w:p>
              </w:tc>
              <w:tc>
                <w:tcPr>
                  <w:tcW w:type="dxa" w:w="851"/>
                  <w:vMerge w:val="restart"/>
                </w:tcPr>
                <w:p>
                  <w:pPr>
                    <w:pStyle w:val="null3"/>
                  </w:pPr>
                  <w:r>
                    <w:rPr>
                      <w:rFonts w:ascii="仿宋_GB2312" w:hAnsi="仿宋_GB2312" w:cs="仿宋_GB2312" w:eastAsia="仿宋_GB2312"/>
                    </w:rPr>
                    <w:t>如标准遇修订或废止，须保证不低于国家最新有效标准。</w:t>
                  </w:r>
                </w:p>
                <w:p>
                  <w:pPr>
                    <w:pStyle w:val="null3"/>
                  </w:pPr>
                  <w:r>
                    <w:rPr>
                      <w:rFonts w:ascii="仿宋_GB2312" w:hAnsi="仿宋_GB2312" w:cs="仿宋_GB2312" w:eastAsia="仿宋_GB2312"/>
                    </w:rPr>
                    <w:t>所投产品须符合国家法律法规、部门规章、相关食品安全标准要求。</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非转基因一级菜籽油：每桶5L*2桶</w:t>
                  </w:r>
                </w:p>
                <w:p>
                  <w:pPr>
                    <w:pStyle w:val="null3"/>
                  </w:pPr>
                  <w:r>
                    <w:rPr>
                      <w:rFonts w:ascii="仿宋_GB2312" w:hAnsi="仿宋_GB2312" w:cs="仿宋_GB2312" w:eastAsia="仿宋_GB2312"/>
                    </w:rPr>
                    <w:t>执行标准：GB/T1536</w:t>
                  </w:r>
                </w:p>
              </w:tc>
              <w:tc>
                <w:tcPr>
                  <w:tcW w:type="dxa" w:w="851"/>
                  <w:vMerge/>
                </w:tcP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雪花粉：每袋5kg*2袋</w:t>
                  </w:r>
                </w:p>
                <w:p>
                  <w:pPr>
                    <w:pStyle w:val="null3"/>
                  </w:pPr>
                  <w:r>
                    <w:rPr>
                      <w:rFonts w:ascii="仿宋_GB2312" w:hAnsi="仿宋_GB2312" w:cs="仿宋_GB2312" w:eastAsia="仿宋_GB2312"/>
                    </w:rPr>
                    <w:t>执行标准：GB/T 1355</w:t>
                  </w:r>
                </w:p>
              </w:tc>
              <w:tc>
                <w:tcPr>
                  <w:tcW w:type="dxa" w:w="851"/>
                  <w:vMerge/>
                </w:tcPr>
                <w:p/>
              </w:tc>
            </w:tr>
          </w:tbl>
          <w:p>
            <w:pPr>
              <w:pStyle w:val="null3"/>
            </w:pPr>
            <w:r>
              <w:rPr>
                <w:rFonts w:ascii="仿宋_GB2312" w:hAnsi="仿宋_GB2312" w:cs="仿宋_GB2312" w:eastAsia="仿宋_GB2312"/>
              </w:rPr>
              <w:t>本次采用固定单价结算总价：350元/套</w:t>
            </w:r>
          </w:p>
          <w:p>
            <w:pPr>
              <w:pStyle w:val="null3"/>
            </w:pPr>
            <w:r>
              <w:rPr>
                <w:rFonts w:ascii="仿宋_GB2312" w:hAnsi="仿宋_GB2312" w:cs="仿宋_GB2312" w:eastAsia="仿宋_GB2312"/>
              </w:rPr>
              <w:t>2.结算要求：货物送达甲方指定点（并负责分次发放），经采购人验收合格后，乙方提供全额发票，采购人将在一个月内支付90％的货款，三个月内无产品质量问题，采购人支付剩余货款。中标单位的投标内容及其中标总金额，合同总价一次包死，不受市场价变化的影响。</w:t>
            </w:r>
          </w:p>
          <w:p>
            <w:pPr>
              <w:pStyle w:val="null3"/>
            </w:pPr>
            <w:r>
              <w:rPr>
                <w:rFonts w:ascii="仿宋_GB2312" w:hAnsi="仿宋_GB2312" w:cs="仿宋_GB2312" w:eastAsia="仿宋_GB2312"/>
              </w:rPr>
              <w:t xml:space="preserve"> 3.交接要求：按照甲方的要求在约定时间和约定地点交货（并负责分次发放）。产品规格、数量：即交付的产品规格、数量与投标文件所指明的，或者与本合同所指明的产品规格相一致，并提供检测报告。交接后三个月内如有产品质量问题，乙方应无条件退换。</w:t>
            </w:r>
          </w:p>
          <w:p>
            <w:pPr>
              <w:pStyle w:val="null3"/>
            </w:pPr>
            <w:r>
              <w:rPr>
                <w:rFonts w:ascii="仿宋_GB2312" w:hAnsi="仿宋_GB2312" w:cs="仿宋_GB2312" w:eastAsia="仿宋_GB2312"/>
              </w:rPr>
              <w:t>中标单位未征得采购单位同意和谅解而单方面延迟交货，将按违约终止合同。中标单位遇到可能妨碍按时交货和提供服务的情况，应当及时以书面形式通知采购单位，说明原由、拖延的期限等；采购单位、采购代理机构在收到通知后，尽快进行情况评估并确定是否通过修改合同，酌情延长交货时间或者通过协商加收误期赔偿金。</w:t>
            </w:r>
          </w:p>
          <w:p>
            <w:pPr>
              <w:pStyle w:val="null3"/>
            </w:pPr>
            <w:r>
              <w:rPr>
                <w:rFonts w:ascii="仿宋_GB2312" w:hAnsi="仿宋_GB2312" w:cs="仿宋_GB2312" w:eastAsia="仿宋_GB2312"/>
              </w:rPr>
              <w:t>4.交货期限：接到供货通知后7日历日内完成。</w:t>
            </w:r>
          </w:p>
          <w:p>
            <w:pPr>
              <w:pStyle w:val="null3"/>
            </w:pPr>
            <w:r>
              <w:rPr>
                <w:rFonts w:ascii="仿宋_GB2312" w:hAnsi="仿宋_GB2312" w:cs="仿宋_GB2312" w:eastAsia="仿宋_GB2312"/>
              </w:rPr>
              <w:t>5.其他要求：本项目投标报价为不可竞争费用，各供应商按附件投标价格表价格内容（602000.00元）对“开标一览表”、及陕西省政府采购综合管理平台相关内容等进行填写。并自行承担未按此表内容执行而导致的风险。</w:t>
            </w:r>
          </w:p>
          <w:p>
            <w:pPr>
              <w:pStyle w:val="null3"/>
              <w:numPr>
                <w:ilvl w:val="0"/>
                <w:numId w:val="1"/>
              </w:numPr>
            </w:pPr>
            <w:r>
              <w:rPr>
                <w:rFonts w:ascii="仿宋_GB2312" w:hAnsi="仿宋_GB2312" w:cs="仿宋_GB2312" w:eastAsia="仿宋_GB2312"/>
              </w:rPr>
              <w:t>运输</w:t>
            </w:r>
          </w:p>
          <w:p>
            <w:pPr>
              <w:pStyle w:val="null3"/>
            </w:pPr>
            <w:r>
              <w:rPr>
                <w:rFonts w:ascii="仿宋_GB2312" w:hAnsi="仿宋_GB2312" w:cs="仿宋_GB2312" w:eastAsia="仿宋_GB2312"/>
              </w:rPr>
              <w:t>（1）中标单位负责所有货物的运输。确保货物安全、完整到达使用地点，运杂费用包含在总价内，包括货物从供货地点到使用地点的运输费、保险费、搬运费等。</w:t>
            </w:r>
          </w:p>
          <w:p>
            <w:pPr>
              <w:pStyle w:val="null3"/>
            </w:pPr>
            <w:r>
              <w:rPr>
                <w:rFonts w:ascii="仿宋_GB2312" w:hAnsi="仿宋_GB2312" w:cs="仿宋_GB2312" w:eastAsia="仿宋_GB2312"/>
              </w:rPr>
              <w:t>（2）所有货物在运输、搬运的过程中，造成采购单位损失的，由中标单位承担。</w:t>
            </w:r>
          </w:p>
          <w:p>
            <w:pPr>
              <w:pStyle w:val="null3"/>
            </w:pPr>
            <w:r>
              <w:rPr>
                <w:rFonts w:ascii="仿宋_GB2312" w:hAnsi="仿宋_GB2312" w:cs="仿宋_GB2312" w:eastAsia="仿宋_GB2312"/>
              </w:rPr>
              <w:t>（3）中标单位可根据交货期、运输条件自行选择运输方式（另有规定的除外），承担一切运输费用。</w:t>
            </w:r>
          </w:p>
          <w:p>
            <w:pPr>
              <w:pStyle w:val="null3"/>
            </w:pPr>
            <w:r>
              <w:rPr>
                <w:rFonts w:ascii="仿宋_GB2312" w:hAnsi="仿宋_GB2312" w:cs="仿宋_GB2312" w:eastAsia="仿宋_GB2312"/>
              </w:rPr>
              <w:t>2、质量保证</w:t>
            </w:r>
          </w:p>
          <w:p>
            <w:pPr>
              <w:pStyle w:val="null3"/>
            </w:pPr>
            <w:r>
              <w:rPr>
                <w:rFonts w:ascii="仿宋_GB2312" w:hAnsi="仿宋_GB2312" w:cs="仿宋_GB2312" w:eastAsia="仿宋_GB2312"/>
              </w:rPr>
              <w:t>（1）所供货物必须是经过办理正常手续的全新产品。</w:t>
            </w:r>
          </w:p>
          <w:p>
            <w:pPr>
              <w:pStyle w:val="null3"/>
            </w:pPr>
            <w:r>
              <w:rPr>
                <w:rFonts w:ascii="仿宋_GB2312" w:hAnsi="仿宋_GB2312" w:cs="仿宋_GB2312" w:eastAsia="仿宋_GB2312"/>
              </w:rPr>
              <w:t>（2）所供货物是经过国家法定检验、注册、准许市场销售的合法产品。</w:t>
            </w:r>
          </w:p>
          <w:p>
            <w:pPr>
              <w:pStyle w:val="null3"/>
            </w:pPr>
            <w:r>
              <w:rPr>
                <w:rFonts w:ascii="仿宋_GB2312" w:hAnsi="仿宋_GB2312" w:cs="仿宋_GB2312" w:eastAsia="仿宋_GB2312"/>
              </w:rPr>
              <w:t>（3）货物质量保证措施完善，符合国家相关标准。</w:t>
            </w:r>
          </w:p>
          <w:p>
            <w:pPr>
              <w:pStyle w:val="null3"/>
            </w:pPr>
            <w:r>
              <w:rPr>
                <w:rFonts w:ascii="仿宋_GB2312" w:hAnsi="仿宋_GB2312" w:cs="仿宋_GB2312" w:eastAsia="仿宋_GB2312"/>
              </w:rPr>
              <w:t>（4）在质保期内，如果发现货物的质量、规格等存在与合同中任何一项不符，采购单位应在最短时间内，以书面形式向中标单位提出索赔。同时通告采购代理机构。</w:t>
            </w:r>
          </w:p>
          <w:p>
            <w:pPr>
              <w:pStyle w:val="null3"/>
            </w:pPr>
            <w:r>
              <w:rPr>
                <w:rFonts w:ascii="仿宋_GB2312" w:hAnsi="仿宋_GB2312" w:cs="仿宋_GB2312" w:eastAsia="仿宋_GB2312"/>
              </w:rPr>
              <w:t>3、采购项目执行内容需要调整时，经采购单位同意后，可以对相应的原材料进行调整，并协商确定价格差额计算方法和负担办法。</w:t>
            </w:r>
          </w:p>
          <w:p>
            <w:pPr>
              <w:pStyle w:val="null3"/>
            </w:pPr>
            <w:r>
              <w:rPr>
                <w:rFonts w:ascii="仿宋_GB2312" w:hAnsi="仿宋_GB2312" w:cs="仿宋_GB2312" w:eastAsia="仿宋_GB2312"/>
              </w:rPr>
              <w:t>4、产品变更</w:t>
            </w:r>
          </w:p>
          <w:p>
            <w:pPr>
              <w:pStyle w:val="null3"/>
            </w:pPr>
            <w:r>
              <w:rPr>
                <w:rFonts w:ascii="仿宋_GB2312" w:hAnsi="仿宋_GB2312" w:cs="仿宋_GB2312" w:eastAsia="仿宋_GB2312"/>
              </w:rPr>
              <w:t>中标后，生产加工产品的数量需要变更、调整时，应办理相应的变更、调整审批手续，并协商确定设计变更、数量调整后的产品价款计算方法和工期顺延等事宜。</w:t>
            </w:r>
          </w:p>
          <w:p>
            <w:pPr>
              <w:pStyle w:val="null3"/>
            </w:pPr>
            <w:r>
              <w:rPr>
                <w:rFonts w:ascii="仿宋_GB2312" w:hAnsi="仿宋_GB2312" w:cs="仿宋_GB2312" w:eastAsia="仿宋_GB2312"/>
              </w:rPr>
              <w:t>5、中标供应商根据采购人要求，提供市内不少于3个固定代发点进行代发业务。职工凭领取票就近自行提货。</w:t>
            </w:r>
          </w:p>
          <w:p>
            <w:pPr>
              <w:pStyle w:val="null3"/>
            </w:pPr>
            <w:r>
              <w:rPr>
                <w:rFonts w:ascii="仿宋_GB2312" w:hAnsi="仿宋_GB2312" w:cs="仿宋_GB2312" w:eastAsia="仿宋_GB2312"/>
              </w:rPr>
              <w:t>6、验收</w:t>
            </w:r>
          </w:p>
          <w:p>
            <w:pPr>
              <w:pStyle w:val="null3"/>
            </w:pPr>
            <w:r>
              <w:rPr>
                <w:rFonts w:ascii="仿宋_GB2312" w:hAnsi="仿宋_GB2312" w:cs="仿宋_GB2312" w:eastAsia="仿宋_GB2312"/>
              </w:rPr>
              <w:t>（1）由采购单位实施验收。</w:t>
            </w:r>
          </w:p>
          <w:p>
            <w:pPr>
              <w:pStyle w:val="null3"/>
            </w:pPr>
            <w:r>
              <w:rPr>
                <w:rFonts w:ascii="仿宋_GB2312" w:hAnsi="仿宋_GB2312" w:cs="仿宋_GB2312" w:eastAsia="仿宋_GB2312"/>
              </w:rPr>
              <w:t>（2）验收依据：验收须以合同、招投标文件、澄清、及国家相应的标准、规范等为依据。</w:t>
            </w:r>
          </w:p>
          <w:p>
            <w:pPr>
              <w:pStyle w:val="null3"/>
            </w:pPr>
            <w:r>
              <w:rPr>
                <w:rFonts w:ascii="仿宋_GB2312" w:hAnsi="仿宋_GB2312" w:cs="仿宋_GB2312" w:eastAsia="仿宋_GB2312"/>
              </w:rPr>
              <w:t>7、合同争议的解决：合同执行中发生争议的，当事人双方应协商解决，协商达不成一致时，可向人民法院提请诉讼。</w:t>
            </w:r>
          </w:p>
          <w:p>
            <w:pPr>
              <w:pStyle w:val="null3"/>
            </w:pPr>
            <w:r>
              <w:rPr>
                <w:rFonts w:ascii="仿宋_GB2312" w:hAnsi="仿宋_GB2312" w:cs="仿宋_GB2312" w:eastAsia="仿宋_GB2312"/>
              </w:rPr>
              <w:t>8、在发生不可抗力情况下的应对措施和解决办法。</w:t>
            </w:r>
          </w:p>
          <w:p>
            <w:pPr>
              <w:pStyle w:val="null3"/>
            </w:pPr>
            <w:r>
              <w:rPr>
                <w:rFonts w:ascii="仿宋_GB2312" w:hAnsi="仿宋_GB2312" w:cs="仿宋_GB2312" w:eastAsia="仿宋_GB2312"/>
              </w:rPr>
              <w:t>9、合同一经签订，不得擅自变更、中止或者终止合同。对确需变更、调整或者中止、终止合同的，应按规定履行相应的手续。</w:t>
            </w:r>
          </w:p>
          <w:p>
            <w:pPr>
              <w:pStyle w:val="null3"/>
            </w:pPr>
            <w:r>
              <w:rPr>
                <w:rFonts w:ascii="仿宋_GB2312" w:hAnsi="仿宋_GB2312" w:cs="仿宋_GB2312" w:eastAsia="仿宋_GB2312"/>
              </w:rPr>
              <w:t>10、其他未列明事项以合同为准。对于上述项目要求，投标人应在投标文件中进行回应，作出承诺及说明。</w:t>
            </w:r>
          </w:p>
          <w:p>
            <w:pPr>
              <w:pStyle w:val="null3"/>
            </w:pPr>
            <w:r>
              <w:rPr>
                <w:rFonts w:ascii="仿宋_GB2312" w:hAnsi="仿宋_GB2312" w:cs="仿宋_GB2312" w:eastAsia="仿宋_GB2312"/>
              </w:rPr>
              <w:t>11、样品要求：</w:t>
            </w:r>
          </w:p>
          <w:p>
            <w:pPr>
              <w:pStyle w:val="null3"/>
            </w:pPr>
            <w:r>
              <w:rPr>
                <w:rFonts w:ascii="仿宋_GB2312" w:hAnsi="仿宋_GB2312" w:cs="仿宋_GB2312" w:eastAsia="仿宋_GB2312"/>
              </w:rPr>
              <w:t>11.1本项目要求提供样品，并对样品进行评审。</w:t>
            </w:r>
          </w:p>
          <w:p>
            <w:pPr>
              <w:pStyle w:val="null3"/>
            </w:pPr>
            <w:r>
              <w:rPr>
                <w:rFonts w:ascii="仿宋_GB2312" w:hAnsi="仿宋_GB2312" w:cs="仿宋_GB2312" w:eastAsia="仿宋_GB2312"/>
              </w:rPr>
              <w:t>11.2样品：一份（面粉、菜籽油、大米）。</w:t>
            </w:r>
          </w:p>
          <w:p>
            <w:pPr>
              <w:pStyle w:val="null3"/>
            </w:pPr>
            <w:r>
              <w:rPr>
                <w:rFonts w:ascii="仿宋_GB2312" w:hAnsi="仿宋_GB2312" w:cs="仿宋_GB2312" w:eastAsia="仿宋_GB2312"/>
              </w:rPr>
              <w:t>11.3样品递交截止时间：与投标截止时间一致。</w:t>
            </w:r>
          </w:p>
          <w:p>
            <w:pPr>
              <w:pStyle w:val="null3"/>
            </w:pPr>
            <w:r>
              <w:rPr>
                <w:rFonts w:ascii="仿宋_GB2312" w:hAnsi="仿宋_GB2312" w:cs="仿宋_GB2312" w:eastAsia="仿宋_GB2312"/>
              </w:rPr>
              <w:t>11.4样品递交地点：西安市经开区凤城八路正尚国际金融广场A座7层703（张家堡转盘东南角）</w:t>
            </w:r>
          </w:p>
          <w:p>
            <w:pPr>
              <w:pStyle w:val="null3"/>
            </w:pPr>
            <w:r>
              <w:rPr>
                <w:rFonts w:ascii="仿宋_GB2312" w:hAnsi="仿宋_GB2312" w:cs="仿宋_GB2312" w:eastAsia="仿宋_GB2312"/>
              </w:rPr>
              <w:t>12.本项目核心产品为：非转基因一级菜籽油。</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接到供货通知后7日历内完成（以双方签订合同时约定的起止时间为准）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西安市区域采购人指定地点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货物送达甲方指定代发点（并负责分次发放），经采购人验收合格后，乙方提供全额发票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三个月内无产品质量问题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（1）由采购单位实施验收。 （2）验收依据：验收须以合同、招投标文件、澄清、及国家相应的标准、规范等为依据。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（1）所有慰问品质量必须符合国家有关规范和相关政策。 （2）出现的质量问题由成交人负责解决并承担所有费用。 （3）质保期为：所有产品生产日期需在发放日起，向前追溯不超过三个月。（4）交货后三个月内如有产品质量问题，乙方应无条件退换。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3. 供应商须确保食品经营许可证在合同签订及履行期间持续有效，否则采购人有权终止合同并要求赔偿。</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1、合同实施 （1）成交人应在合同签订后7个日历日内安排人员（项目组成人员简历表所列）与采购人就相关内容及工作进行安排、部署。 （2）若未能在规定时间内内完成合同规定的义务，由此对采购人造成的延误和一切损失，由中标人承担和赔偿。2、成交人在领取成交通知书时提供一正两副纸质竞争性磋商响应文件。 装订：纸质竞争性磋商响应文件采用书籍（胶装）方式装订成册，与电子版文件一致的签字、盖章的完整版本，编制书脊（注明项目名称、项目编号）。3、本项目采购标的对应的中小企业划分标准所属行业为（批发业）。4、本项目核心产品为：非转基因一级菜籽油。5、样品递交要求：（1）所有投标供应商应提供一份（东北大米5kg*1袋、非转基因一级菜籽油5L*1桶、雪花粉5kg*1袋）样品，供现场评审用。未提供样品的“样品评审”项不得分；（2）投标供应商自行承担样品破坏性评审的损失；（3）样品需密封递交，外包装箱可有投标人标识，内部包装应为产品出厂包装不得附有投标人信息等标识。（4）样品退还：成交单位样品由采购人留存；未成交单位样品在成交公告发出之日起5个工作日内在代理机构领取，未按规定时间领取的将由代理机构自行处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5资格证明文件.docx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供应商需在项目电子化交易系统中按要求上传相应证明文件并进行电子签章。此项审查内容与特定资格条件中的第二项“财务状况报告”为同一审查内容。</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供应商需在项目电子化交易系统中按要求填写《响应函》完成承诺并进行电子签章。此项审查内容与特定资格条件中的第十项“控股关系查询”为同一审查内容。</w:t>
            </w:r>
          </w:p>
        </w:tc>
        <w:tc>
          <w:tcPr>
            <w:tcW w:type="dxa" w:w="1661"/>
          </w:tcPr>
          <w:p>
            <w:pPr>
              <w:pStyle w:val="null3"/>
            </w:pPr>
            <w:r>
              <w:rPr>
                <w:rFonts w:ascii="仿宋_GB2312" w:hAnsi="仿宋_GB2312" w:cs="仿宋_GB2312" w:eastAsia="仿宋_GB2312"/>
              </w:rPr>
              <w:t>5资格证明文件.docx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2024年度财务报告（成立时间至开标时间不足一年的可提供成立后任意时段的资产负债表）或开标前六个月内（2025年5月至2025年10月）其基本账户银行出具的资信证明或政府采购信用担保机构出具的担保函；</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税收缴纳证明：提供截止至开标时间前一年内（2024年11月至2025年10月）任意一个月的税收缴纳凭据；（增值税、企业所得税至少提供一种，依法免税的供应商应提供相关文件证明）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2025年5月至2025年10月）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投标人为生产厂家的须提供《食品生产许可证》；代理商须提供本单位《食品经营许可证》或《预包装食品经营者备案表》及生产厂家的《食品生产许可证》；</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5资格证明文件.docx 3法定代表人授权委托书.docx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此项在磋商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5资格证明文件.docx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此项在磋商响应截止日当天在“国家企业信用信息公示系统”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5资格证明文件.docx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17业绩.docx 2技术、服务、商务及其他要求条款响应偏离表.docx 4承诺书.docx 报价表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17业绩.docx 2技术、服务、商务及其他要求条款响应偏离表.docx 4承诺书.docx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磋商响应文件是否按照磋商文件的要求盖章签字；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17业绩.docx 2技术、服务、商务及其他要求条款响应偏离表.docx 4承诺书.docx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磋商报价是否超过采购预算；</w:t>
            </w:r>
          </w:p>
        </w:tc>
        <w:tc>
          <w:tcPr>
            <w:tcW w:type="dxa" w:w="3322"/>
          </w:tcPr>
          <w:p>
            <w:pPr>
              <w:pStyle w:val="null3"/>
            </w:pPr>
            <w:r>
              <w:rPr>
                <w:rFonts w:ascii="仿宋_GB2312" w:hAnsi="仿宋_GB2312" w:cs="仿宋_GB2312" w:eastAsia="仿宋_GB2312"/>
              </w:rPr>
              <w:t>磋商报价是否超过采购预算；</w:t>
            </w:r>
          </w:p>
        </w:tc>
        <w:tc>
          <w:tcPr>
            <w:tcW w:type="dxa" w:w="1661"/>
          </w:tcPr>
          <w:p>
            <w:pPr>
              <w:pStyle w:val="null3"/>
            </w:pPr>
            <w:r>
              <w:rPr>
                <w:rFonts w:ascii="仿宋_GB2312" w:hAnsi="仿宋_GB2312" w:cs="仿宋_GB2312" w:eastAsia="仿宋_GB2312"/>
              </w:rPr>
              <w:t>1分项报价表.docx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磋商有效期是否符合磋商文件的要求；</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17业绩.docx 2技术、服务、商务及其他要求条款响应偏离表.docx 4承诺书.docx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对磋商文件技术、服务、商务及其他要求是否作出明确响应；</w:t>
            </w:r>
          </w:p>
        </w:tc>
        <w:tc>
          <w:tcPr>
            <w:tcW w:type="dxa" w:w="3322"/>
          </w:tcPr>
          <w:p>
            <w:pPr>
              <w:pStyle w:val="null3"/>
            </w:pPr>
            <w:r>
              <w:rPr>
                <w:rFonts w:ascii="仿宋_GB2312" w:hAnsi="仿宋_GB2312" w:cs="仿宋_GB2312" w:eastAsia="仿宋_GB2312"/>
              </w:rPr>
              <w:t>对磋商文件技术、服务、商务及其他要求是否作出明确响应；</w:t>
            </w:r>
          </w:p>
        </w:tc>
        <w:tc>
          <w:tcPr>
            <w:tcW w:type="dxa" w:w="1661"/>
          </w:tcPr>
          <w:p>
            <w:pPr>
              <w:pStyle w:val="null3"/>
            </w:pPr>
            <w:r>
              <w:rPr>
                <w:rFonts w:ascii="仿宋_GB2312" w:hAnsi="仿宋_GB2312" w:cs="仿宋_GB2312" w:eastAsia="仿宋_GB2312"/>
              </w:rPr>
              <w:t>2技术、服务、商务及其他要求条款响应偏离表.docx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磋商响应文件是否含有采购人不能接受的附加条件；</w:t>
            </w:r>
          </w:p>
        </w:tc>
        <w:tc>
          <w:tcPr>
            <w:tcW w:type="dxa" w:w="3322"/>
          </w:tcPr>
          <w:p>
            <w:pPr>
              <w:pStyle w:val="null3"/>
            </w:pPr>
            <w:r>
              <w:rPr>
                <w:rFonts w:ascii="仿宋_GB2312" w:hAnsi="仿宋_GB2312" w:cs="仿宋_GB2312" w:eastAsia="仿宋_GB2312"/>
              </w:rPr>
              <w:t>磋商响应文件是否含有采购人不能接受的附加条件；</w:t>
            </w:r>
          </w:p>
        </w:tc>
        <w:tc>
          <w:tcPr>
            <w:tcW w:type="dxa" w:w="1661"/>
          </w:tcPr>
          <w:p>
            <w:pPr>
              <w:pStyle w:val="null3"/>
            </w:pPr>
            <w:r>
              <w:rPr>
                <w:rFonts w:ascii="仿宋_GB2312" w:hAnsi="仿宋_GB2312" w:cs="仿宋_GB2312" w:eastAsia="仿宋_GB2312"/>
              </w:rPr>
              <w:t>17业绩.docx 2技术、服务、商务及其他要求条款响应偏离表.docx 4承诺书.docx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17业绩.docx 2技术、服务、商务及其他要求条款响应偏离表.docx 4承诺书.docx 7供货方案.docx 18供应商参与政府采购活动的承诺函.docx 11应急方案.docx 15配送车辆.docx 标的清单 6总体服务方案.docx 9食品安全方案.docx 10配送时间及流程方案.docx 5资格证明文件.docx 13合理化建议.docx 16服务人员组织配备情况.docx 8配送安全方案.docx 监狱企业的证明文件 1分项报价表.docx 中小企业声明函 20供应商认为有必要说明的事宜.docx 响应文件封面 12管理制度.docx 残疾人福利性单位声明函 19拒绝政府采购领域商业贿赂承诺书.docx 响应函 3法定代表人授权委托书.docx 14仓储情况.docx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评审内容：供应商针对本项目制定详细的总体服务方案，包括:①对项目的服务目标、服务内容、服务要求的理解；②工作流程；③工作方法；④ 进度计划安排。（评审内容每项3分） 评审标准： 1.总体目标清晰，掌握市场生产、销售主体分布情况，工作流程明确合理，工作方法合理完善，进度安排合理，完全符合项目要求的计12分； 2.评审内容任意一项缺项扣3分，扣完为止； 3.评审内容任意一项存在任意一处缺陷扣1分,3分扣完为止。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6总体服务方案.docx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评审内容：供应商针对本项目提供供货方案，包含但不限于①货源选择；②质量保障措施；③采购验收、退换货措施等内容。（评审内容每项3分） 评审标准： 1.供货方案完全满足招标文件要求，方案及措施内容完整详细的计9分； 2.评审内容任意一项缺项扣3分，扣完为止； 3.评审内容任意一项存在任意一处缺陷扣1分,3分扣完为止。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7供货方案.docx</w:t>
            </w:r>
          </w:p>
        </w:tc>
      </w:tr>
      <w:tr>
        <w:tc>
          <w:tcPr>
            <w:tcW w:type="dxa" w:w="831"/>
            <w:vMerge/>
          </w:tcPr>
          <w:p/>
        </w:tc>
        <w:tc>
          <w:tcPr>
            <w:tcW w:type="dxa" w:w="1661"/>
          </w:tcPr>
          <w:p>
            <w:pPr>
              <w:pStyle w:val="null3"/>
            </w:pPr>
            <w:r>
              <w:rPr>
                <w:rFonts w:ascii="仿宋_GB2312" w:hAnsi="仿宋_GB2312" w:cs="仿宋_GB2312" w:eastAsia="仿宋_GB2312"/>
              </w:rPr>
              <w:t>配送安全方案</w:t>
            </w:r>
          </w:p>
        </w:tc>
        <w:tc>
          <w:tcPr>
            <w:tcW w:type="dxa" w:w="2492"/>
          </w:tcPr>
          <w:p>
            <w:pPr>
              <w:pStyle w:val="null3"/>
            </w:pPr>
            <w:r>
              <w:rPr>
                <w:rFonts w:ascii="仿宋_GB2312" w:hAnsi="仿宋_GB2312" w:cs="仿宋_GB2312" w:eastAsia="仿宋_GB2312"/>
              </w:rPr>
              <w:t>评审内容：供应商针对本项目提供配送安全方案及保障措施，包含但不限于①车辆安全；②配送人员的安全；③货物的安全等内容。（评审内容每项3分） 评审标准： 1.配送安全方案完全满足招标文件要求，方案及措施内容完整详细的计9分； 2.评审内容任意一项缺项扣3分，扣完为止； 3.评审内容任意一项存在任意一处缺陷扣1分,3分扣完为止。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8配送安全方案.docx</w:t>
            </w:r>
          </w:p>
        </w:tc>
      </w:tr>
      <w:tr>
        <w:tc>
          <w:tcPr>
            <w:tcW w:type="dxa" w:w="831"/>
            <w:vMerge/>
          </w:tcPr>
          <w:p/>
        </w:tc>
        <w:tc>
          <w:tcPr>
            <w:tcW w:type="dxa" w:w="1661"/>
          </w:tcPr>
          <w:p>
            <w:pPr>
              <w:pStyle w:val="null3"/>
            </w:pPr>
            <w:r>
              <w:rPr>
                <w:rFonts w:ascii="仿宋_GB2312" w:hAnsi="仿宋_GB2312" w:cs="仿宋_GB2312" w:eastAsia="仿宋_GB2312"/>
              </w:rPr>
              <w:t>食品安全方案</w:t>
            </w:r>
          </w:p>
        </w:tc>
        <w:tc>
          <w:tcPr>
            <w:tcW w:type="dxa" w:w="2492"/>
          </w:tcPr>
          <w:p>
            <w:pPr>
              <w:pStyle w:val="null3"/>
            </w:pPr>
            <w:r>
              <w:rPr>
                <w:rFonts w:ascii="仿宋_GB2312" w:hAnsi="仿宋_GB2312" w:cs="仿宋_GB2312" w:eastAsia="仿宋_GB2312"/>
              </w:rPr>
              <w:t>评审内容：供应商提供针对本项目的产品质量及食品安全保障方案，包含但不限于①食品安全卫生；②产品质量保障机制；③出现质量及安全问题追踪溯源方案；④保证所配送食材卫生、新鲜防腐措施等内容。（评审内容每项3分） 评审标准： 1.食品安全方案完全满足招标文件要求，方案及措施内容完整详细的计12分； 2.评审内容任意一项缺项扣3分，扣完为止； 3.评审内容任意一项存在任意一处缺陷扣1分,3分扣完为止。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9食品安全方案.docx</w:t>
            </w:r>
          </w:p>
        </w:tc>
      </w:tr>
      <w:tr>
        <w:tc>
          <w:tcPr>
            <w:tcW w:type="dxa" w:w="831"/>
            <w:vMerge/>
          </w:tcPr>
          <w:p/>
        </w:tc>
        <w:tc>
          <w:tcPr>
            <w:tcW w:type="dxa" w:w="1661"/>
          </w:tcPr>
          <w:p>
            <w:pPr>
              <w:pStyle w:val="null3"/>
            </w:pPr>
            <w:r>
              <w:rPr>
                <w:rFonts w:ascii="仿宋_GB2312" w:hAnsi="仿宋_GB2312" w:cs="仿宋_GB2312" w:eastAsia="仿宋_GB2312"/>
              </w:rPr>
              <w:t>配送时间及流程方案</w:t>
            </w:r>
          </w:p>
        </w:tc>
        <w:tc>
          <w:tcPr>
            <w:tcW w:type="dxa" w:w="2492"/>
          </w:tcPr>
          <w:p>
            <w:pPr>
              <w:pStyle w:val="null3"/>
            </w:pPr>
            <w:r>
              <w:rPr>
                <w:rFonts w:ascii="仿宋_GB2312" w:hAnsi="仿宋_GB2312" w:cs="仿宋_GB2312" w:eastAsia="仿宋_GB2312"/>
              </w:rPr>
              <w:t>评审内容：供应商针对本项目提供配送时间及配送流程方案。①配送时间包含但不限于全流程的时间安排、采购人紧急需求采购的食材准时送达的安排、未按时送达时的挽回安排、节假日应急时间配送安排等内容；②配送流程包含但不限于配货、运输、交验、与采购人有效沟通等内容。 （评审内容每项5分） 评审标准： 1.配送时间及流程方案完全满足招标文件要求，方案及措施内容完整详细的计10分； 2.评审内容任意一项缺项扣5分，扣完为止； 3.评审内容任意一项存在任意一处缺陷扣1分,5分扣完为止。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10配送时间及流程方案.docx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结合本项目采购人实际情况、环境等因素，供应商提供的突发应急预案，包含但不限于①针对运输车辆临时故障、配送过程中遭遇极端天气；②原定配送人员缺勤；③采购人临时提出食材采购需求等方面的应对方案及措施进行综合评审。（评审内容每项3分） 评审标准： 1.应急方案满足招标文件要求，内容完整，应急时间及措施方法详细有针对性的计9分； 2.评审内容任意一项缺项扣3分，扣完为止； 3.评审内容任意一项存在任意一处缺陷扣1分,3分扣完为止。 4.未提供方案或只有标题或概述没有实质性内容的不得分。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供应商提供具体的管理制度，内容包含但不限于①货物原料的采购流程；②财务管理制度；③人员管理制度；④出入库管理制度；⑤食品安全追溯管理登记制度；⑥供货验收制度等。（评审内容每项2分） 评审标准： 1.管理制度满足招标文件要求，内容完整，描述详细有针对性的计12分； 2.评审内容任意一项缺项扣2分，扣完为止； 3.评审内容任意一项存在任意一处缺陷扣1分,2分扣完为止。 4.未提供管理制度或只有标题或概述没有实质性内容的不得分。 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12管理制度.docx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根据对本项目理解程度提出有利于采购人的合理化建议及特色增值服务等； 1.内容明确合理、科学可行性且完全有利于采购项目顺利实施的计4分； 2.内容有部分阐述不明确、不能完全有利于项目实施的计2分； 3.内容中有较多缺失或内容欠缺针对性的计1分； 4.未提供不计分。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13合理化建议.docx</w:t>
            </w:r>
          </w:p>
        </w:tc>
      </w:tr>
      <w:tr>
        <w:tc>
          <w:tcPr>
            <w:tcW w:type="dxa" w:w="831"/>
            <w:vMerge/>
          </w:tcPr>
          <w:p/>
        </w:tc>
        <w:tc>
          <w:tcPr>
            <w:tcW w:type="dxa" w:w="1661"/>
          </w:tcPr>
          <w:p>
            <w:pPr>
              <w:pStyle w:val="null3"/>
            </w:pPr>
            <w:r>
              <w:rPr>
                <w:rFonts w:ascii="仿宋_GB2312" w:hAnsi="仿宋_GB2312" w:cs="仿宋_GB2312" w:eastAsia="仿宋_GB2312"/>
              </w:rPr>
              <w:t>仓储情况</w:t>
            </w:r>
          </w:p>
        </w:tc>
        <w:tc>
          <w:tcPr>
            <w:tcW w:type="dxa" w:w="2492"/>
          </w:tcPr>
          <w:p>
            <w:pPr>
              <w:pStyle w:val="null3"/>
            </w:pPr>
            <w:r>
              <w:rPr>
                <w:rFonts w:ascii="仿宋_GB2312" w:hAnsi="仿宋_GB2312" w:cs="仿宋_GB2312" w:eastAsia="仿宋_GB2312"/>
              </w:rPr>
              <w:t>食品原材料仓储：食品原材料仓储能力满足本项目需求 ①仓储地基本情况文字说明仓储面积并附实景照片，计1.5分；②货架设备条件，分拣设备条件，包装设备条件，每种条件计0.5分，共计1.5分。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14仓储情况.docx</w:t>
            </w:r>
          </w:p>
        </w:tc>
      </w:tr>
      <w:tr>
        <w:tc>
          <w:tcPr>
            <w:tcW w:type="dxa" w:w="831"/>
            <w:vMerge/>
          </w:tcPr>
          <w:p/>
        </w:tc>
        <w:tc>
          <w:tcPr>
            <w:tcW w:type="dxa" w:w="1661"/>
          </w:tcPr>
          <w:p>
            <w:pPr>
              <w:pStyle w:val="null3"/>
            </w:pPr>
            <w:r>
              <w:rPr>
                <w:rFonts w:ascii="仿宋_GB2312" w:hAnsi="仿宋_GB2312" w:cs="仿宋_GB2312" w:eastAsia="仿宋_GB2312"/>
              </w:rPr>
              <w:t>配送车辆</w:t>
            </w:r>
          </w:p>
        </w:tc>
        <w:tc>
          <w:tcPr>
            <w:tcW w:type="dxa" w:w="2492"/>
          </w:tcPr>
          <w:p>
            <w:pPr>
              <w:pStyle w:val="null3"/>
            </w:pPr>
            <w:r>
              <w:rPr>
                <w:rFonts w:ascii="仿宋_GB2312" w:hAnsi="仿宋_GB2312" w:cs="仿宋_GB2312" w:eastAsia="仿宋_GB2312"/>
              </w:rPr>
              <w:t>供应商针对本项目具有专用配送车辆（应为厢式货车等能够满足配送需求的机动车辆），提供①行驶证、车辆照片或②车辆租赁合同及驾驶员驾驶证、健康证复印件（驾驶员不计入配送人员），资料齐全的计4分。未提供或资料不齐全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15配送车辆.docx</w:t>
            </w:r>
          </w:p>
        </w:tc>
      </w:tr>
      <w:tr>
        <w:tc>
          <w:tcPr>
            <w:tcW w:type="dxa" w:w="831"/>
            <w:vMerge/>
          </w:tcPr>
          <w:p/>
        </w:tc>
        <w:tc>
          <w:tcPr>
            <w:tcW w:type="dxa" w:w="1661"/>
          </w:tcPr>
          <w:p>
            <w:pPr>
              <w:pStyle w:val="null3"/>
            </w:pPr>
            <w:r>
              <w:rPr>
                <w:rFonts w:ascii="仿宋_GB2312" w:hAnsi="仿宋_GB2312" w:cs="仿宋_GB2312" w:eastAsia="仿宋_GB2312"/>
              </w:rPr>
              <w:t>服务人员组织配备情况</w:t>
            </w:r>
          </w:p>
        </w:tc>
        <w:tc>
          <w:tcPr>
            <w:tcW w:type="dxa" w:w="2492"/>
          </w:tcPr>
          <w:p>
            <w:pPr>
              <w:pStyle w:val="null3"/>
            </w:pPr>
            <w:r>
              <w:rPr>
                <w:rFonts w:ascii="仿宋_GB2312" w:hAnsi="仿宋_GB2312" w:cs="仿宋_GB2312" w:eastAsia="仿宋_GB2312"/>
              </w:rPr>
              <w:t>组织机构健全，实行项目负责制，管理计划详细完整；针对本项目配置专职服务团队，团队人员健康无传染疾病，人员安排合理，充足，岗位配置齐全；职责划分明确；工作经验丰富；团队人员具有（身份证、健康证、配送司机有驾驶证等相关证明材料）； 1.组织机构健全、团队人员配备充足、职责明确、工作经验丰富、证明材料齐全的计8分； 2.组织机构、人员安排、工作经验、职责划分、人员证明材料任1项有描述不明确或材料不齐全的的计6分； 3.组织机构、人员安排、工作经验、职责划分、人员证明材料任2项有描述不明确或材料不齐全的的计4分； 4.人员配备方案或证明资料缺1-2项的计2分； 人员配备方案或证明资料缺3-</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16服务人员组织配备情况.docx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根据提供样品的实际情况计分。 ①样品包装规范、各项标识清晰、规格含量等符合招标文件要求，产品外观、色泽、气味正常，计5分； ②样品包装规范但标识字迹模糊不清晰，产品外观、色泽、气味正常，计4分； ③样品包装不规范或包装上相关产品信息缺失，产品外观、色泽、气味正常，计2分； ④样品无包装标识、破损，色泽、气味异常，计1分； ⑤未提供样品、样品提供数量不足，均不计分。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20供应商认为有必要说明的事宜.docx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投标人提供2022年10月至今同类项目业绩，每提供1份得1分，满分3分。注：业绩证明材料以复印件加盖公章为准，包括但不限于合同、中标通知书、委托函、任务书等。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详见附件：2技术、服务、商务及其他要求条款响应偏离表.docx</w:t>
      </w:r>
    </w:p>
    <w:p>
      <w:pPr>
        <w:pStyle w:val="null3"/>
        <w:ind w:firstLine="960"/>
      </w:pPr>
      <w:r>
        <w:rPr>
          <w:rFonts w:ascii="仿宋_GB2312" w:hAnsi="仿宋_GB2312" w:cs="仿宋_GB2312" w:eastAsia="仿宋_GB2312"/>
        </w:rPr>
        <w:t>详见附件：3法定代表人授权委托书.docx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详见附件：5资格证明文件.docx</w:t>
      </w:r>
    </w:p>
    <w:p>
      <w:pPr>
        <w:pStyle w:val="null3"/>
        <w:ind w:firstLine="960"/>
      </w:pPr>
      <w:r>
        <w:rPr>
          <w:rFonts w:ascii="仿宋_GB2312" w:hAnsi="仿宋_GB2312" w:cs="仿宋_GB2312" w:eastAsia="仿宋_GB2312"/>
        </w:rPr>
        <w:t>详见附件：6总体服务方案.docx</w:t>
      </w:r>
    </w:p>
    <w:p>
      <w:pPr>
        <w:pStyle w:val="null3"/>
        <w:ind w:firstLine="960"/>
      </w:pPr>
      <w:r>
        <w:rPr>
          <w:rFonts w:ascii="仿宋_GB2312" w:hAnsi="仿宋_GB2312" w:cs="仿宋_GB2312" w:eastAsia="仿宋_GB2312"/>
        </w:rPr>
        <w:t>详见附件：7供货方案.docx</w:t>
      </w:r>
    </w:p>
    <w:p>
      <w:pPr>
        <w:pStyle w:val="null3"/>
        <w:ind w:firstLine="960"/>
      </w:pPr>
      <w:r>
        <w:rPr>
          <w:rFonts w:ascii="仿宋_GB2312" w:hAnsi="仿宋_GB2312" w:cs="仿宋_GB2312" w:eastAsia="仿宋_GB2312"/>
        </w:rPr>
        <w:t>详见附件：8配送安全方案.docx</w:t>
      </w:r>
    </w:p>
    <w:p>
      <w:pPr>
        <w:pStyle w:val="null3"/>
        <w:ind w:firstLine="960"/>
      </w:pPr>
      <w:r>
        <w:rPr>
          <w:rFonts w:ascii="仿宋_GB2312" w:hAnsi="仿宋_GB2312" w:cs="仿宋_GB2312" w:eastAsia="仿宋_GB2312"/>
        </w:rPr>
        <w:t>详见附件：9食品安全方案.docx</w:t>
      </w:r>
    </w:p>
    <w:p>
      <w:pPr>
        <w:pStyle w:val="null3"/>
        <w:ind w:firstLine="960"/>
      </w:pPr>
      <w:r>
        <w:rPr>
          <w:rFonts w:ascii="仿宋_GB2312" w:hAnsi="仿宋_GB2312" w:cs="仿宋_GB2312" w:eastAsia="仿宋_GB2312"/>
        </w:rPr>
        <w:t>详见附件：10配送时间及流程方案.docx</w:t>
      </w:r>
    </w:p>
    <w:p>
      <w:pPr>
        <w:pStyle w:val="null3"/>
        <w:ind w:firstLine="960"/>
      </w:pPr>
      <w:r>
        <w:rPr>
          <w:rFonts w:ascii="仿宋_GB2312" w:hAnsi="仿宋_GB2312" w:cs="仿宋_GB2312" w:eastAsia="仿宋_GB2312"/>
        </w:rPr>
        <w:t>详见附件：11应急方案.docx</w:t>
      </w:r>
    </w:p>
    <w:p>
      <w:pPr>
        <w:pStyle w:val="null3"/>
        <w:ind w:firstLine="960"/>
      </w:pPr>
      <w:r>
        <w:rPr>
          <w:rFonts w:ascii="仿宋_GB2312" w:hAnsi="仿宋_GB2312" w:cs="仿宋_GB2312" w:eastAsia="仿宋_GB2312"/>
        </w:rPr>
        <w:t>详见附件：12管理制度.docx</w:t>
      </w:r>
    </w:p>
    <w:p>
      <w:pPr>
        <w:pStyle w:val="null3"/>
        <w:ind w:firstLine="960"/>
      </w:pPr>
      <w:r>
        <w:rPr>
          <w:rFonts w:ascii="仿宋_GB2312" w:hAnsi="仿宋_GB2312" w:cs="仿宋_GB2312" w:eastAsia="仿宋_GB2312"/>
        </w:rPr>
        <w:t>详见附件：13合理化建议.docx</w:t>
      </w:r>
    </w:p>
    <w:p>
      <w:pPr>
        <w:pStyle w:val="null3"/>
        <w:ind w:firstLine="960"/>
      </w:pPr>
      <w:r>
        <w:rPr>
          <w:rFonts w:ascii="仿宋_GB2312" w:hAnsi="仿宋_GB2312" w:cs="仿宋_GB2312" w:eastAsia="仿宋_GB2312"/>
        </w:rPr>
        <w:t>详见附件：14仓储情况.docx</w:t>
      </w:r>
    </w:p>
    <w:p>
      <w:pPr>
        <w:pStyle w:val="null3"/>
        <w:ind w:firstLine="960"/>
      </w:pPr>
      <w:r>
        <w:rPr>
          <w:rFonts w:ascii="仿宋_GB2312" w:hAnsi="仿宋_GB2312" w:cs="仿宋_GB2312" w:eastAsia="仿宋_GB2312"/>
        </w:rPr>
        <w:t>详见附件：15配送车辆.docx</w:t>
      </w:r>
    </w:p>
    <w:p>
      <w:pPr>
        <w:pStyle w:val="null3"/>
        <w:ind w:firstLine="960"/>
      </w:pPr>
      <w:r>
        <w:rPr>
          <w:rFonts w:ascii="仿宋_GB2312" w:hAnsi="仿宋_GB2312" w:cs="仿宋_GB2312" w:eastAsia="仿宋_GB2312"/>
        </w:rPr>
        <w:t>详见附件：16服务人员组织配备情况.docx</w:t>
      </w:r>
    </w:p>
    <w:p>
      <w:pPr>
        <w:pStyle w:val="null3"/>
        <w:ind w:firstLine="960"/>
      </w:pPr>
      <w:r>
        <w:rPr>
          <w:rFonts w:ascii="仿宋_GB2312" w:hAnsi="仿宋_GB2312" w:cs="仿宋_GB2312" w:eastAsia="仿宋_GB2312"/>
        </w:rPr>
        <w:t>详见附件：17业绩.docx</w:t>
      </w:r>
    </w:p>
    <w:p>
      <w:pPr>
        <w:pStyle w:val="null3"/>
        <w:ind w:firstLine="960"/>
      </w:pPr>
      <w:r>
        <w:rPr>
          <w:rFonts w:ascii="仿宋_GB2312" w:hAnsi="仿宋_GB2312" w:cs="仿宋_GB2312" w:eastAsia="仿宋_GB2312"/>
        </w:rPr>
        <w:t>详见附件：18供应商参与政府采购活动的承诺函.docx</w:t>
      </w:r>
    </w:p>
    <w:p>
      <w:pPr>
        <w:pStyle w:val="null3"/>
        <w:ind w:firstLine="960"/>
      </w:pPr>
      <w:r>
        <w:rPr>
          <w:rFonts w:ascii="仿宋_GB2312" w:hAnsi="仿宋_GB2312" w:cs="仿宋_GB2312" w:eastAsia="仿宋_GB2312"/>
        </w:rPr>
        <w:t>详见附件：19拒绝政府采购领域商业贿赂承诺书.docx</w:t>
      </w:r>
    </w:p>
    <w:p>
      <w:pPr>
        <w:pStyle w:val="null3"/>
        <w:ind w:firstLine="960"/>
      </w:pPr>
      <w:r>
        <w:rPr>
          <w:rFonts w:ascii="仿宋_GB2312" w:hAnsi="仿宋_GB2312" w:cs="仿宋_GB2312" w:eastAsia="仿宋_GB2312"/>
        </w:rPr>
        <w:t>详见附件：20供应商认为有必要说明的事宜.docx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