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版本号：GXZB2025-086Z20251029001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2025年西安市不动产登记及权调应急开发项目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GXZB2025-086Z</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2025年西安市不动产登记及权调应急开发项目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GXZB2025-086Z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2025年西安市不动产登记及权调应急开发项目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该项目基于西安市不动产登记管理信息平台建设基础，为满足不动产登记业务深入开展与优化营商环境工作要求，对现有登记平台系统与权籍调查系统进行全面升级改造，完善不动产登记业务办理范围，拓展不动产登记业务办理渠道，优化登记系统业务办理效能，改善平台功能易用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采购包1（2025年西安市不动产登记及权调应急开发项目 采购包1）：属于专门面向中小企业采购。</w:t>
      </w:r>
    </w:p>
    <w:p>
      <w:pPr>
        <w:pStyle w:val="null3"/>
      </w:pPr>
      <w:r>
        <w:rPr>
          <w:rFonts w:ascii="仿宋_GB2312" w:hAnsi="仿宋_GB2312" w:cs="仿宋_GB2312" w:eastAsia="仿宋_GB2312"/>
        </w:rPr>
        <w:t>采购包2（2025年西安市不动产登记及权调应急开发项目 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2、企业资质：供应商须具有测绘乙级（含乙级）以上资质</w:t>
      </w:r>
    </w:p>
    <w:p>
      <w:pPr>
        <w:pStyle w:val="null3"/>
      </w:pPr>
      <w:r>
        <w:rPr>
          <w:rFonts w:ascii="仿宋_GB2312" w:hAnsi="仿宋_GB2312" w:cs="仿宋_GB2312" w:eastAsia="仿宋_GB2312"/>
        </w:rPr>
        <w:t>3、项目负责人资格：拟派项目负责人具有行业主管部门颁发的注册测绘师或测绘中级及以上职称证书</w:t>
      </w:r>
    </w:p>
    <w:p>
      <w:pPr>
        <w:pStyle w:val="null3"/>
      </w:pPr>
      <w:r>
        <w:rPr>
          <w:rFonts w:ascii="仿宋_GB2312" w:hAnsi="仿宋_GB2312" w:cs="仿宋_GB2312" w:eastAsia="仿宋_GB2312"/>
        </w:rPr>
        <w:t>4、财务状况报告：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5、税收缴纳证明：提供2024年10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6、社保缴纳证明：提供2024年10月至今已缴存任意一个月社会保障资金缴存单据或社保机构开具的社会保险参保缴费证明，依法不需要缴纳社会保障资金的单位应提供相应证明文件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7、履行合同所必需的设备和专业技术能力：具备履行合同所必需的设备和专业技术能力的证明材料或书面声明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8、采购活动前三年内在经营活动中没有重大违法记录：参加政府采购活动前三年内在经营活动中没有重大违法记录的书面声明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p>
      <w:pPr>
        <w:pStyle w:val="null3"/>
      </w:pPr>
      <w:r>
        <w:rPr>
          <w:rFonts w:ascii="仿宋_GB2312" w:hAnsi="仿宋_GB2312" w:cs="仿宋_GB2312" w:eastAsia="仿宋_GB2312"/>
        </w:rPr>
        <w:t>11、法定代表人授权委托书：法定代表人直接参加投标的，须出具法人身份证，并与营业执照上信息一致。法定代表人授权代表参加开标的，须出具法定代表人授权书及授权代表身份证、授权代表本单位证明（开标前三个月的个人养老保险本单位缴纳证明）。 法人的分支机构参与开标时，除提供《法定代表人授权委托书》外，还须同时提供法人给分支机构出具的授权书</w:t>
      </w:r>
    </w:p>
    <w:p>
      <w:pPr>
        <w:pStyle w:val="null3"/>
      </w:pPr>
      <w:r>
        <w:rPr>
          <w:rFonts w:ascii="仿宋_GB2312" w:hAnsi="仿宋_GB2312" w:cs="仿宋_GB2312" w:eastAsia="仿宋_GB2312"/>
        </w:rPr>
        <w:t>12、本项目不接受联合体投标，不允许分包：本项目不接受联合体投标，不允许分包。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10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4、社保缴纳证明：提供2024年10月至今已缴存任意一个月社会保障资金缴存单据或社保机构开具的社会保险参保缴费证明，依法不需要缴纳社会保障资金的单位应提供相应证明文件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开标的，须出具法定代表人授权书及授权代表身份证、授权代表本单位证明（开标前三个月的个人养老保险本单位缴纳证明）。 法人的分支机构参与开标时，除提供《法定代表人授权委托书》外，还须同时提供法人给分支机构出具的授权书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吴庆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02986786031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阿老师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02982680887/13193383246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采购包1：1,287,000.00元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代理服务费收费标准：采购代理服务费的金额参照《国家计委关于印发&lt;招标代理服务收费管理暂行办法&gt;的通知》（计价格[2002]1980 号）、和《国家发展改革委关于降低部分建设项目收费标准规范收费行为等有关问题的通知》（发改办价格〔2011〕534 号）的有关规定收取招标代理服务费。由中标（成交）单位在领取中标（成交）通知书前向乙方一次性支付。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符合国家及行业标准。由采购人和成交供应商共同对项目进行验收填写验收单。其内容包括是否按照采购人要求进行服务、是否在规定时间内服务完毕。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符合国家及行业标准。由采购人和成交供应商共同对项目进行验收填写验收单。其内容包括是否按照采购人要求进行服务、是否在规定时间内服务完毕。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联系人：阿老师</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基于西安市不动产登记管理信息平台建设基础，为满足不动产登记业务深入开展与优化营商环境工作要求，对现有登记平台系统与权籍调查系统进行全面升级改造，完善不动产登记业务办理范围，拓展不动产登记业务办理渠道，优化登记系统业务办理效能，改善平台功能易用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1,287,000.00</w:t>
      </w:r>
    </w:p>
    <w:p>
      <w:pPr>
        <w:pStyle w:val="null3"/>
      </w:pPr>
      <w:r>
        <w:rPr>
          <w:rFonts w:ascii="仿宋_GB2312" w:hAnsi="仿宋_GB2312" w:cs="仿宋_GB2312" w:eastAsia="仿宋_GB2312"/>
        </w:rPr>
        <w:t>采购包最高限价（元）: 1,287,000.00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2025年西安市不动产登记及权调应急开发项目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1,287,000.00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2025年西安市不动产登记及权调应急开发项目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标的名称：2025年西安市不动产登记及权调应急开发项目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1"/>
              <w:jc w:val="both"/>
            </w:pPr>
            <w:r>
              <w:rPr>
                <w:rFonts w:ascii="仿宋_GB2312" w:hAnsi="仿宋_GB2312" w:cs="仿宋_GB2312" w:eastAsia="仿宋_GB2312"/>
                <w:sz w:val="20"/>
                <w:b/>
                <w:color w:val="000000"/>
              </w:rPr>
              <w:t>项目概况</w:t>
            </w:r>
          </w:p>
          <w:p>
            <w:pPr>
              <w:pStyle w:val="null3"/>
              <w:ind w:firstLine="400"/>
              <w:jc w:val="left"/>
            </w:pPr>
            <w:r>
              <w:rPr>
                <w:rFonts w:ascii="仿宋_GB2312" w:hAnsi="仿宋_GB2312" w:cs="仿宋_GB2312" w:eastAsia="仿宋_GB2312"/>
                <w:sz w:val="20"/>
              </w:rPr>
              <w:t>1.项目名称：2025年西安市不动产登记及权调应急开发项目</w:t>
            </w:r>
            <w:r>
              <w:rPr>
                <w:rFonts w:ascii="仿宋_GB2312" w:hAnsi="仿宋_GB2312" w:cs="仿宋_GB2312" w:eastAsia="仿宋_GB2312"/>
                <w:sz w:val="21"/>
              </w:rPr>
              <w:t xml:space="preserve"> </w:t>
            </w:r>
            <w:r>
              <w:rPr>
                <w:rFonts w:ascii="仿宋_GB2312" w:hAnsi="仿宋_GB2312" w:cs="仿宋_GB2312" w:eastAsia="仿宋_GB2312"/>
                <w:sz w:val="20"/>
              </w:rPr>
              <w:t>采购包1</w:t>
            </w:r>
          </w:p>
          <w:p>
            <w:pPr>
              <w:pStyle w:val="null3"/>
              <w:ind w:firstLine="400"/>
              <w:jc w:val="left"/>
            </w:pPr>
            <w:r>
              <w:rPr>
                <w:rFonts w:ascii="仿宋_GB2312" w:hAnsi="仿宋_GB2312" w:cs="仿宋_GB2312" w:eastAsia="仿宋_GB2312"/>
                <w:sz w:val="20"/>
              </w:rPr>
              <w:t>2.项目地点：西安市</w:t>
            </w:r>
          </w:p>
          <w:p>
            <w:pPr>
              <w:pStyle w:val="null3"/>
              <w:ind w:firstLine="400"/>
              <w:jc w:val="left"/>
            </w:pPr>
            <w:r>
              <w:rPr>
                <w:rFonts w:ascii="仿宋_GB2312" w:hAnsi="仿宋_GB2312" w:cs="仿宋_GB2312" w:eastAsia="仿宋_GB2312"/>
                <w:sz w:val="20"/>
              </w:rPr>
              <w:t>3.项目内容：</w:t>
            </w:r>
          </w:p>
          <w:p>
            <w:pPr>
              <w:pStyle w:val="null3"/>
              <w:jc w:val="both"/>
            </w:pPr>
            <w:r>
              <w:rPr>
                <w:rFonts w:ascii="仿宋_GB2312" w:hAnsi="仿宋_GB2312" w:cs="仿宋_GB2312" w:eastAsia="仿宋_GB2312"/>
                <w:sz w:val="20"/>
              </w:rPr>
              <w:t>该项目基于西安市不动产登记管理信息平台建设基础，为满足不动产登记业务深入开展与优化营商环境工作要求，对现有登记平台系统</w:t>
            </w:r>
            <w:r>
              <w:rPr>
                <w:rFonts w:ascii="仿宋_GB2312" w:hAnsi="仿宋_GB2312" w:cs="仿宋_GB2312" w:eastAsia="仿宋_GB2312"/>
                <w:sz w:val="20"/>
              </w:rPr>
              <w:t>与权籍调查系统</w:t>
            </w:r>
            <w:r>
              <w:rPr>
                <w:rFonts w:ascii="仿宋_GB2312" w:hAnsi="仿宋_GB2312" w:cs="仿宋_GB2312" w:eastAsia="仿宋_GB2312"/>
                <w:sz w:val="20"/>
              </w:rPr>
              <w:t>进行全面升级改造，完善不动产登记业务办理范围，拓展不动产登记业务办理渠道，优化登记系统业务办理效能，改善平台功能易用性。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1"/>
              <w:jc w:val="both"/>
            </w:pPr>
            <w:r>
              <w:rPr>
                <w:rFonts w:ascii="仿宋_GB2312" w:hAnsi="仿宋_GB2312" w:cs="仿宋_GB2312" w:eastAsia="仿宋_GB2312"/>
                <w:sz w:val="20"/>
                <w:b/>
                <w:color w:val="000000"/>
              </w:rPr>
              <w:t>服务内容</w:t>
            </w:r>
          </w:p>
          <w:p>
            <w:pPr>
              <w:pStyle w:val="null3"/>
              <w:ind w:firstLine="500"/>
              <w:jc w:val="both"/>
            </w:pPr>
            <w:r>
              <w:rPr>
                <w:rFonts w:ascii="仿宋_GB2312" w:hAnsi="仿宋_GB2312" w:cs="仿宋_GB2312" w:eastAsia="仿宋_GB2312"/>
                <w:sz w:val="20"/>
              </w:rPr>
              <w:t>2025年西安市不动产登记及权调应急开发项目采购包1为西安市不动产登记业务系统与西安市不动产“一窗办事”平台新增系统功能，包括新增互联网端不动产登记业务、新增与外联单位数据共享、档案系统扩展业务范围等</w:t>
            </w:r>
            <w:r>
              <w:rPr>
                <w:rFonts w:ascii="仿宋_GB2312" w:hAnsi="仿宋_GB2312" w:cs="仿宋_GB2312" w:eastAsia="仿宋_GB2312"/>
                <w:sz w:val="20"/>
              </w:rPr>
              <w:t>。</w:t>
            </w:r>
          </w:p>
          <w:p>
            <w:pPr>
              <w:pStyle w:val="null3"/>
              <w:ind w:firstLine="500"/>
              <w:jc w:val="both"/>
            </w:pPr>
            <w:r>
              <w:rPr>
                <w:rFonts w:ascii="仿宋_GB2312" w:hAnsi="仿宋_GB2312" w:cs="仿宋_GB2312" w:eastAsia="仿宋_GB2312"/>
                <w:sz w:val="20"/>
              </w:rPr>
              <w:t>主要内容包括：</w:t>
            </w:r>
          </w:p>
          <w:p>
            <w:pPr>
              <w:pStyle w:val="null3"/>
              <w:ind w:firstLine="500"/>
              <w:jc w:val="both"/>
            </w:pPr>
            <w:r>
              <w:rPr>
                <w:rFonts w:ascii="仿宋_GB2312" w:hAnsi="仿宋_GB2312" w:cs="仿宋_GB2312" w:eastAsia="仿宋_GB2312"/>
                <w:sz w:val="20"/>
              </w:rPr>
              <w:t>1.新增全程网办业务。主要包括转移登记-经济适用房转商品房、转移登记-夫妻共有人变更-婚前过户、转移登记-夫妻共有人变更-婚内财产减名、转移登记-夫妻共有人变更-婚前财产婚内加名、变更登记-房屋坐落变更、转移登记-二手房转移等10项不动产登记业务。与在线委托-存量房双预告登记、在线委托-线上查询功能等2项在线委托功能。</w:t>
            </w:r>
          </w:p>
          <w:p>
            <w:pPr>
              <w:pStyle w:val="null3"/>
              <w:ind w:firstLine="500"/>
              <w:jc w:val="both"/>
            </w:pPr>
            <w:r>
              <w:rPr>
                <w:rFonts w:ascii="仿宋_GB2312" w:hAnsi="仿宋_GB2312" w:cs="仿宋_GB2312" w:eastAsia="仿宋_GB2312"/>
                <w:sz w:val="20"/>
              </w:rPr>
              <w:t>2.微信公众号新增功能。在线预约新增支持多次、多点预约，减少权利人“跑路”次数；新增网办业务智能辅助功能，辅助群众矫正拍摄的照片、增强对比效果，以及识别照片中的关键信息与申请信息对比，减少错误率；实现在线查询三维户图，用户可根据查询条件查询，程序根据查询条件自动定位到相关位置，并展示被查询的三维户图信息；新增商品房自行办证查询，用户可输入项目名称检索是否在自行办证范围内，并支持验证本人房产是否可自行办证。</w:t>
            </w:r>
          </w:p>
          <w:p>
            <w:pPr>
              <w:pStyle w:val="null3"/>
              <w:ind w:firstLine="500"/>
              <w:jc w:val="both"/>
            </w:pPr>
            <w:r>
              <w:rPr>
                <w:rFonts w:ascii="仿宋_GB2312" w:hAnsi="仿宋_GB2312" w:cs="仿宋_GB2312" w:eastAsia="仿宋_GB2312"/>
                <w:sz w:val="20"/>
              </w:rPr>
              <w:t>3.新增外联系统对接。与西安市机关事务管理中心、市住建局、市公积金管理中心、市税务局等对接共享接口，根据与各外联单位约定的查询条件，返回各局需要的不动产登记相关信息，进行登记信息有效共享利用。</w:t>
            </w:r>
          </w:p>
          <w:p>
            <w:pPr>
              <w:pStyle w:val="null3"/>
              <w:ind w:firstLine="500"/>
              <w:jc w:val="both"/>
            </w:pPr>
            <w:r>
              <w:rPr>
                <w:rFonts w:ascii="仿宋_GB2312" w:hAnsi="仿宋_GB2312" w:cs="仿宋_GB2312" w:eastAsia="仿宋_GB2312"/>
                <w:sz w:val="20"/>
              </w:rPr>
              <w:t>4.新增档案查询功能。新增未成年子女监护关系核验功能，实现监护人代未成年子女办理不动产登记信息查询业务，查询前需验证是否为亲子关系；新增外联单位信息共享服务，根据不同单位的需求配置不同的被分享信息，权利人可选择分享文件类型、分享不动产信息或文件和信息全部分享，并指定被分享单位等，被分享单位只能接收有权限的内容。</w:t>
            </w:r>
          </w:p>
          <w:p>
            <w:pPr>
              <w:pStyle w:val="null3"/>
              <w:jc w:val="both"/>
            </w:pPr>
            <w:r>
              <w:rPr>
                <w:rFonts w:ascii="仿宋_GB2312" w:hAnsi="仿宋_GB2312" w:cs="仿宋_GB2312" w:eastAsia="仿宋_GB2312"/>
                <w:sz w:val="20"/>
              </w:rPr>
              <w:t>5.登记系统新增功能。与省登记中心对接不动产双预告登记，实现双预告登记线上办理；新增档案查询分级审核，实现将《规程》要求的不予查询告知书模板嵌入到查询模块中，将不予查询告知书出具功能设计为分级权限；新增登记系统档案借阅功能，实现前台查询窗口受理纸质资料调阅业务，录入相关申请信息后，可自动传递至档案管理系统；新增数据整合入库比对功能，对于数据整合入库或修改的现势权利数据，在登记人员办理业务时弹出提示。新增存量房预抵押登记、房屋转移登记-法院强制执行等业务，拓展不动产登记系统业务办理范围</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1"/>
              <w:jc w:val="both"/>
            </w:pPr>
            <w:r>
              <w:rPr>
                <w:rFonts w:ascii="仿宋_GB2312" w:hAnsi="仿宋_GB2312" w:cs="仿宋_GB2312" w:eastAsia="仿宋_GB2312"/>
                <w:sz w:val="20"/>
                <w:b/>
                <w:color w:val="000000"/>
              </w:rPr>
              <w:t>技术要求</w:t>
            </w:r>
          </w:p>
          <w:p>
            <w:pPr>
              <w:pStyle w:val="null3"/>
              <w:ind w:firstLine="396"/>
              <w:jc w:val="both"/>
            </w:pPr>
            <w:r>
              <w:rPr>
                <w:rFonts w:ascii="仿宋_GB2312" w:hAnsi="仿宋_GB2312" w:cs="仿宋_GB2312" w:eastAsia="仿宋_GB2312"/>
                <w:sz w:val="20"/>
              </w:rPr>
              <w:t>（一)技术标准与依据（注：以下技术标准与依据文件有最新标准的，按照最新标准文件执行。）</w:t>
            </w:r>
          </w:p>
          <w:p>
            <w:pPr>
              <w:pStyle w:val="null3"/>
              <w:ind w:firstLine="396"/>
              <w:jc w:val="both"/>
            </w:pPr>
            <w:r>
              <w:rPr>
                <w:rFonts w:ascii="仿宋_GB2312" w:hAnsi="仿宋_GB2312" w:cs="仿宋_GB2312" w:eastAsia="仿宋_GB2312"/>
                <w:sz w:val="20"/>
              </w:rPr>
              <w:t>1、法律法规及政策规定</w:t>
            </w:r>
          </w:p>
          <w:p>
            <w:pPr>
              <w:pStyle w:val="null3"/>
              <w:ind w:firstLine="396"/>
              <w:jc w:val="both"/>
            </w:pPr>
            <w:r>
              <w:rPr>
                <w:rFonts w:ascii="仿宋_GB2312" w:hAnsi="仿宋_GB2312" w:cs="仿宋_GB2312" w:eastAsia="仿宋_GB2312"/>
                <w:sz w:val="20"/>
              </w:rPr>
              <w:t>（1）《中华人民共和国宪法》；</w:t>
            </w:r>
          </w:p>
          <w:p>
            <w:pPr>
              <w:pStyle w:val="null3"/>
              <w:ind w:firstLine="396"/>
              <w:jc w:val="both"/>
            </w:pPr>
            <w:r>
              <w:rPr>
                <w:rFonts w:ascii="仿宋_GB2312" w:hAnsi="仿宋_GB2312" w:cs="仿宋_GB2312" w:eastAsia="仿宋_GB2312"/>
                <w:sz w:val="20"/>
              </w:rPr>
              <w:t>（2）《中华人民共和国土地管理法》；</w:t>
            </w:r>
          </w:p>
          <w:p>
            <w:pPr>
              <w:pStyle w:val="null3"/>
              <w:ind w:firstLine="396"/>
              <w:jc w:val="both"/>
            </w:pPr>
            <w:r>
              <w:rPr>
                <w:rFonts w:ascii="仿宋_GB2312" w:hAnsi="仿宋_GB2312" w:cs="仿宋_GB2312" w:eastAsia="仿宋_GB2312"/>
                <w:sz w:val="20"/>
              </w:rPr>
              <w:t>（3）《中华人民共和国民法典》；</w:t>
            </w:r>
          </w:p>
          <w:p>
            <w:pPr>
              <w:pStyle w:val="null3"/>
              <w:ind w:firstLine="396"/>
              <w:jc w:val="both"/>
            </w:pPr>
            <w:r>
              <w:rPr>
                <w:rFonts w:ascii="仿宋_GB2312" w:hAnsi="仿宋_GB2312" w:cs="仿宋_GB2312" w:eastAsia="仿宋_GB2312"/>
                <w:sz w:val="20"/>
              </w:rPr>
              <w:t>（4）《不动产登记暂行条例》；</w:t>
            </w:r>
          </w:p>
          <w:p>
            <w:pPr>
              <w:pStyle w:val="null3"/>
              <w:ind w:firstLine="396"/>
              <w:jc w:val="both"/>
            </w:pPr>
            <w:r>
              <w:rPr>
                <w:rFonts w:ascii="仿宋_GB2312" w:hAnsi="仿宋_GB2312" w:cs="仿宋_GB2312" w:eastAsia="仿宋_GB2312"/>
                <w:sz w:val="20"/>
              </w:rPr>
              <w:t>（5）《自然资源统一确权登记暂行办法》；</w:t>
            </w:r>
          </w:p>
          <w:p>
            <w:pPr>
              <w:pStyle w:val="null3"/>
              <w:ind w:firstLine="396"/>
              <w:jc w:val="both"/>
            </w:pPr>
            <w:r>
              <w:rPr>
                <w:rFonts w:ascii="仿宋_GB2312" w:hAnsi="仿宋_GB2312" w:cs="仿宋_GB2312" w:eastAsia="仿宋_GB2312"/>
                <w:sz w:val="20"/>
              </w:rPr>
              <w:t>（6）《陕西省自然资源统一确权登记总体工作方案》；</w:t>
            </w:r>
          </w:p>
          <w:p>
            <w:pPr>
              <w:pStyle w:val="null3"/>
              <w:ind w:firstLine="396"/>
              <w:jc w:val="both"/>
            </w:pPr>
            <w:r>
              <w:rPr>
                <w:rFonts w:ascii="仿宋_GB2312" w:hAnsi="仿宋_GB2312" w:cs="仿宋_GB2312" w:eastAsia="仿宋_GB2312"/>
                <w:sz w:val="20"/>
              </w:rPr>
              <w:t>2、技术标准</w:t>
            </w:r>
          </w:p>
          <w:p>
            <w:pPr>
              <w:pStyle w:val="null3"/>
              <w:ind w:firstLine="396"/>
              <w:jc w:val="both"/>
            </w:pPr>
            <w:r>
              <w:rPr>
                <w:rFonts w:ascii="仿宋_GB2312" w:hAnsi="仿宋_GB2312" w:cs="仿宋_GB2312" w:eastAsia="仿宋_GB2312"/>
                <w:sz w:val="20"/>
              </w:rPr>
              <w:t>（1）《不动产登记数据库标准》（TD/T 1066-2021）</w:t>
            </w:r>
          </w:p>
          <w:p>
            <w:pPr>
              <w:pStyle w:val="null3"/>
              <w:ind w:firstLine="396"/>
              <w:jc w:val="both"/>
            </w:pPr>
            <w:r>
              <w:rPr>
                <w:rFonts w:ascii="仿宋_GB2312" w:hAnsi="仿宋_GB2312" w:cs="仿宋_GB2312" w:eastAsia="仿宋_GB2312"/>
                <w:sz w:val="20"/>
              </w:rPr>
              <w:t>（2）《不动产登记数据整合建库技术规范》（TD/T 1067-2021）</w:t>
            </w:r>
          </w:p>
          <w:p>
            <w:pPr>
              <w:pStyle w:val="null3"/>
              <w:ind w:firstLine="396"/>
              <w:jc w:val="both"/>
            </w:pPr>
            <w:r>
              <w:rPr>
                <w:rFonts w:ascii="仿宋_GB2312" w:hAnsi="仿宋_GB2312" w:cs="仿宋_GB2312" w:eastAsia="仿宋_GB2312"/>
                <w:sz w:val="20"/>
              </w:rPr>
              <w:t>（3）《不动产登记信息管理基础平台建设总体方案》</w:t>
            </w:r>
          </w:p>
          <w:p>
            <w:pPr>
              <w:pStyle w:val="null3"/>
              <w:ind w:firstLine="396"/>
              <w:jc w:val="both"/>
            </w:pPr>
            <w:r>
              <w:rPr>
                <w:rFonts w:ascii="仿宋_GB2312" w:hAnsi="仿宋_GB2312" w:cs="仿宋_GB2312" w:eastAsia="仿宋_GB2312"/>
                <w:sz w:val="20"/>
              </w:rPr>
              <w:t>（4）《全国一体化在线政务服务平台电子证照不动产权证书》（C0203-2020）</w:t>
            </w:r>
          </w:p>
          <w:p>
            <w:pPr>
              <w:pStyle w:val="null3"/>
              <w:ind w:firstLine="396"/>
              <w:jc w:val="both"/>
            </w:pPr>
            <w:r>
              <w:rPr>
                <w:rFonts w:ascii="仿宋_GB2312" w:hAnsi="仿宋_GB2312" w:cs="仿宋_GB2312" w:eastAsia="仿宋_GB2312"/>
                <w:sz w:val="20"/>
              </w:rPr>
              <w:t>（5）《全国一体化在线政务服务平台电子证照不动产登记证明》（C0204-2020）</w:t>
            </w:r>
          </w:p>
          <w:p>
            <w:pPr>
              <w:pStyle w:val="null3"/>
              <w:ind w:firstLine="396"/>
              <w:jc w:val="both"/>
            </w:pPr>
            <w:r>
              <w:rPr>
                <w:rFonts w:ascii="仿宋_GB2312" w:hAnsi="仿宋_GB2312" w:cs="仿宋_GB2312" w:eastAsia="仿宋_GB2312"/>
                <w:sz w:val="20"/>
              </w:rPr>
              <w:t>（6）《不动产登记规程》（TD/T1095-2024）</w:t>
            </w:r>
          </w:p>
          <w:p>
            <w:pPr>
              <w:pStyle w:val="null3"/>
              <w:ind w:firstLine="396"/>
              <w:jc w:val="both"/>
            </w:pPr>
            <w:r>
              <w:rPr>
                <w:rFonts w:ascii="仿宋_GB2312" w:hAnsi="仿宋_GB2312" w:cs="仿宋_GB2312" w:eastAsia="仿宋_GB2312"/>
                <w:sz w:val="20"/>
              </w:rPr>
              <w:t>（7）《电子政务标准体系》</w:t>
            </w:r>
          </w:p>
          <w:p>
            <w:pPr>
              <w:pStyle w:val="null3"/>
              <w:ind w:firstLine="396"/>
              <w:jc w:val="both"/>
            </w:pPr>
            <w:r>
              <w:rPr>
                <w:rFonts w:ascii="仿宋_GB2312" w:hAnsi="仿宋_GB2312" w:cs="仿宋_GB2312" w:eastAsia="仿宋_GB2312"/>
                <w:sz w:val="20"/>
              </w:rPr>
              <w:t>（8）《信息安全技术 信息系统安全等级保护基本要求》（GB/T 22239-2019）</w:t>
            </w:r>
          </w:p>
          <w:p>
            <w:pPr>
              <w:pStyle w:val="null3"/>
              <w:ind w:firstLine="396"/>
              <w:jc w:val="both"/>
            </w:pPr>
            <w:r>
              <w:rPr>
                <w:rFonts w:ascii="仿宋_GB2312" w:hAnsi="仿宋_GB2312" w:cs="仿宋_GB2312" w:eastAsia="仿宋_GB2312"/>
                <w:sz w:val="20"/>
              </w:rPr>
              <w:t>（9）《信息安全技术 个人信息安全规范》（GB/T 35273-2020）</w:t>
            </w:r>
          </w:p>
          <w:p>
            <w:pPr>
              <w:pStyle w:val="null3"/>
              <w:ind w:firstLine="396"/>
              <w:jc w:val="both"/>
            </w:pPr>
            <w:r>
              <w:rPr>
                <w:rFonts w:ascii="仿宋_GB2312" w:hAnsi="仿宋_GB2312" w:cs="仿宋_GB2312" w:eastAsia="仿宋_GB2312"/>
                <w:sz w:val="20"/>
              </w:rPr>
              <w:t>（10）《云计算服务安全能力要求》（GB/T 31167-2014）</w:t>
            </w:r>
          </w:p>
          <w:p>
            <w:pPr>
              <w:pStyle w:val="null3"/>
              <w:ind w:firstLine="396"/>
              <w:jc w:val="both"/>
            </w:pPr>
            <w:r>
              <w:rPr>
                <w:rFonts w:ascii="仿宋_GB2312" w:hAnsi="仿宋_GB2312" w:cs="仿宋_GB2312" w:eastAsia="仿宋_GB2312"/>
                <w:sz w:val="20"/>
              </w:rPr>
              <w:t>（11）《数字城市地理空间信息公共平台技术规范》（CH/Z 9001-2007）</w:t>
            </w:r>
          </w:p>
          <w:p>
            <w:pPr>
              <w:pStyle w:val="null3"/>
              <w:ind w:firstLine="396"/>
              <w:jc w:val="both"/>
            </w:pPr>
            <w:r>
              <w:rPr>
                <w:rFonts w:ascii="仿宋_GB2312" w:hAnsi="仿宋_GB2312" w:cs="仿宋_GB2312" w:eastAsia="仿宋_GB2312"/>
                <w:sz w:val="20"/>
              </w:rPr>
              <w:t>（12）《房产测量规范》（GB/T17986•1—2000）</w:t>
            </w:r>
          </w:p>
          <w:p>
            <w:pPr>
              <w:pStyle w:val="null3"/>
              <w:ind w:firstLine="396"/>
              <w:jc w:val="both"/>
            </w:pPr>
            <w:r>
              <w:rPr>
                <w:rFonts w:ascii="仿宋_GB2312" w:hAnsi="仿宋_GB2312" w:cs="仿宋_GB2312" w:eastAsia="仿宋_GB2312"/>
                <w:sz w:val="20"/>
              </w:rPr>
              <w:t>（13）《不动产单元设定与代码编制规则》（GB/T 37346-2019）</w:t>
            </w:r>
          </w:p>
          <w:p>
            <w:pPr>
              <w:pStyle w:val="null3"/>
              <w:ind w:firstLine="396"/>
              <w:jc w:val="both"/>
            </w:pPr>
            <w:r>
              <w:rPr>
                <w:rFonts w:ascii="仿宋_GB2312" w:hAnsi="仿宋_GB2312" w:cs="仿宋_GB2312" w:eastAsia="仿宋_GB2312"/>
                <w:sz w:val="20"/>
              </w:rPr>
              <w:t>（14）《国家电子政务网络技术和运行管理规范》（GB/T 21061-2007）</w:t>
            </w:r>
          </w:p>
          <w:p>
            <w:pPr>
              <w:pStyle w:val="null3"/>
              <w:ind w:firstLine="396"/>
              <w:jc w:val="both"/>
            </w:pPr>
            <w:r>
              <w:rPr>
                <w:rFonts w:ascii="仿宋_GB2312" w:hAnsi="仿宋_GB2312" w:cs="仿宋_GB2312" w:eastAsia="仿宋_GB2312"/>
                <w:sz w:val="20"/>
              </w:rPr>
              <w:t>（15）《信息系统安全等级保护测评过程指南》（ GB/T28449-2012）</w:t>
            </w:r>
          </w:p>
          <w:p>
            <w:pPr>
              <w:pStyle w:val="null3"/>
              <w:ind w:firstLine="396"/>
              <w:jc w:val="both"/>
            </w:pPr>
            <w:r>
              <w:rPr>
                <w:rFonts w:ascii="仿宋_GB2312" w:hAnsi="仿宋_GB2312" w:cs="仿宋_GB2312" w:eastAsia="仿宋_GB2312"/>
                <w:sz w:val="20"/>
              </w:rPr>
              <w:t>（16）《信息安全技术网络安全等级保护定级指南》（GB/T 22240-2020）</w:t>
            </w:r>
          </w:p>
          <w:p>
            <w:pPr>
              <w:pStyle w:val="null3"/>
              <w:ind w:firstLine="396"/>
              <w:jc w:val="both"/>
            </w:pPr>
            <w:r>
              <w:rPr>
                <w:rFonts w:ascii="仿宋_GB2312" w:hAnsi="仿宋_GB2312" w:cs="仿宋_GB2312" w:eastAsia="仿宋_GB2312"/>
                <w:sz w:val="20"/>
              </w:rPr>
              <w:t>（17）《网络安全等级保护基本要求》（GB/T 22239-2019）</w:t>
            </w:r>
          </w:p>
          <w:p>
            <w:pPr>
              <w:pStyle w:val="null3"/>
              <w:ind w:firstLine="396"/>
              <w:jc w:val="both"/>
            </w:pPr>
            <w:r>
              <w:rPr>
                <w:rFonts w:ascii="仿宋_GB2312" w:hAnsi="仿宋_GB2312" w:cs="仿宋_GB2312" w:eastAsia="仿宋_GB2312"/>
                <w:sz w:val="20"/>
              </w:rPr>
              <w:t>（18）《网络安全等级保护安全设计技术要求》（GB/T 25070-2019）</w:t>
            </w:r>
          </w:p>
          <w:p>
            <w:pPr>
              <w:pStyle w:val="null3"/>
              <w:ind w:firstLine="396"/>
              <w:jc w:val="both"/>
            </w:pPr>
            <w:r>
              <w:rPr>
                <w:rFonts w:ascii="仿宋_GB2312" w:hAnsi="仿宋_GB2312" w:cs="仿宋_GB2312" w:eastAsia="仿宋_GB2312"/>
                <w:sz w:val="20"/>
              </w:rPr>
              <w:t>（19）《网络安全等级保护测评要求》（GB/T 28448-2019）</w:t>
            </w:r>
          </w:p>
          <w:p>
            <w:pPr>
              <w:pStyle w:val="null3"/>
              <w:ind w:firstLine="396"/>
              <w:jc w:val="both"/>
            </w:pPr>
            <w:r>
              <w:rPr>
                <w:rFonts w:ascii="仿宋_GB2312" w:hAnsi="仿宋_GB2312" w:cs="仿宋_GB2312" w:eastAsia="仿宋_GB2312"/>
                <w:sz w:val="20"/>
              </w:rPr>
              <w:t>(二)性能要求</w:t>
            </w:r>
          </w:p>
          <w:p>
            <w:pPr>
              <w:pStyle w:val="null3"/>
              <w:ind w:firstLine="396"/>
              <w:jc w:val="both"/>
            </w:pPr>
            <w:r>
              <w:rPr>
                <w:rFonts w:ascii="仿宋_GB2312" w:hAnsi="仿宋_GB2312" w:cs="仿宋_GB2312" w:eastAsia="仿宋_GB2312"/>
                <w:sz w:val="20"/>
              </w:rPr>
              <w:t>1.稳定性：保证系统 7*24 小时长期稳定不间断的正常运转;系统必须有足够的健壮性，在发生意外的软、硬件故障等情况下，能够很好的处理并尽快恢复。</w:t>
            </w:r>
          </w:p>
          <w:p>
            <w:pPr>
              <w:pStyle w:val="null3"/>
              <w:ind w:firstLine="396"/>
              <w:jc w:val="both"/>
            </w:pPr>
            <w:r>
              <w:rPr>
                <w:rFonts w:ascii="仿宋_GB2312" w:hAnsi="仿宋_GB2312" w:cs="仿宋_GB2312" w:eastAsia="仿宋_GB2312"/>
                <w:sz w:val="20"/>
              </w:rPr>
              <w:t>2.并行性: 通过接口访问相关数据服务，200 并发用户的响应返回时间不超过 5秒。</w:t>
            </w:r>
          </w:p>
          <w:p>
            <w:pPr>
              <w:pStyle w:val="null3"/>
              <w:ind w:firstLine="396"/>
              <w:jc w:val="both"/>
            </w:pPr>
            <w:r>
              <w:rPr>
                <w:rFonts w:ascii="仿宋_GB2312" w:hAnsi="仿宋_GB2312" w:cs="仿宋_GB2312" w:eastAsia="仿宋_GB2312"/>
                <w:sz w:val="20"/>
              </w:rPr>
              <w:t>3.响应速度：单用户常规操作的平均响应时间≤1秒，复杂查询响应时间≤3秒；系统启动时间≤30秒，关键服务初始化时间≤10秒，确保用户操作流畅性。</w:t>
            </w:r>
          </w:p>
          <w:p>
            <w:pPr>
              <w:pStyle w:val="null3"/>
              <w:ind w:firstLine="396"/>
              <w:jc w:val="both"/>
            </w:pPr>
            <w:r>
              <w:rPr>
                <w:rFonts w:ascii="仿宋_GB2312" w:hAnsi="仿宋_GB2312" w:cs="仿宋_GB2312" w:eastAsia="仿宋_GB2312"/>
                <w:sz w:val="20"/>
              </w:rPr>
              <w:t>4.容错能力：支持关键数据操作的自动事务回滚，事务完整性达100%；针对网络抖动、中间件异常等场景，系统需具备请求重试机制，确保数据不丢失、业务不中断。</w:t>
            </w:r>
          </w:p>
          <w:p>
            <w:pPr>
              <w:pStyle w:val="null3"/>
              <w:ind w:firstLine="396"/>
              <w:jc w:val="both"/>
            </w:pPr>
            <w:r>
              <w:rPr>
                <w:rFonts w:ascii="仿宋_GB2312" w:hAnsi="仿宋_GB2312" w:cs="仿宋_GB2312" w:eastAsia="仿宋_GB2312"/>
                <w:sz w:val="20"/>
              </w:rPr>
              <w:t>5.易维护性：系统需内置可视化监控面板，实时展示关键指标；日志记录需包含操作行为、系统状态及性能数据，支持按时间、关键词快速检索，便于快速定位问题根源。</w:t>
            </w:r>
          </w:p>
          <w:p>
            <w:pPr>
              <w:pStyle w:val="null3"/>
              <w:ind w:firstLine="396"/>
              <w:jc w:val="both"/>
            </w:pPr>
            <w:r>
              <w:rPr>
                <w:rFonts w:ascii="仿宋_GB2312" w:hAnsi="仿宋_GB2312" w:cs="仿宋_GB2312" w:eastAsia="仿宋_GB2312"/>
                <w:sz w:val="20"/>
              </w:rPr>
              <w:t>6.扩展性：系统架构需支持灵活扩展，通过模块化设计实现功能组件的独立部署与升级；当用户规模或业务量增长时，可通过横向扩展服务器节点或纵向升级硬件配置，确保性能线性提升且不影响现有业务运行，扩展过程无需重构核心代码。</w:t>
            </w:r>
          </w:p>
          <w:p>
            <w:pPr>
              <w:pStyle w:val="null3"/>
              <w:ind w:firstLine="396"/>
              <w:jc w:val="both"/>
            </w:pPr>
            <w:r>
              <w:rPr>
                <w:rFonts w:ascii="仿宋_GB2312" w:hAnsi="仿宋_GB2312" w:cs="仿宋_GB2312" w:eastAsia="仿宋_GB2312"/>
                <w:sz w:val="20"/>
              </w:rPr>
              <w:t>7.兼容性：支持主流操作系统、浏览器及终端设备，与现有业务系统的数据接口兼容，确保跨平台、跨系统数据交互无障碍。</w:t>
            </w:r>
          </w:p>
          <w:p>
            <w:pPr>
              <w:pStyle w:val="null3"/>
              <w:ind w:firstLine="396"/>
              <w:jc w:val="both"/>
            </w:pPr>
            <w:r>
              <w:rPr>
                <w:rFonts w:ascii="仿宋_GB2312" w:hAnsi="仿宋_GB2312" w:cs="仿宋_GB2312" w:eastAsia="仿宋_GB2312"/>
                <w:sz w:val="20"/>
              </w:rPr>
              <w:t>8.可靠性：关键业务功能需支持7×24小时不间断服务，年故障率≤0.1%；系统需具备自动故障转移能力，当单点故障发生时，备用节点可在1分钟内接管服务，业务中断时间≤30秒。</w:t>
            </w:r>
          </w:p>
          <w:p>
            <w:pPr>
              <w:pStyle w:val="null3"/>
              <w:ind w:firstLine="396"/>
              <w:jc w:val="both"/>
            </w:pPr>
            <w:r>
              <w:rPr>
                <w:rFonts w:ascii="仿宋_GB2312" w:hAnsi="仿宋_GB2312" w:cs="仿宋_GB2312" w:eastAsia="仿宋_GB2312"/>
                <w:sz w:val="20"/>
              </w:rPr>
              <w:t>9.实时性：对时效性要求高的业务场景，系统需保证数据更新延迟≤1秒，确保用户获取最新信息；对于批量数据处理任务，需提供进度实时查询功能，用户可随时查看处理状态。</w:t>
            </w:r>
          </w:p>
          <w:p>
            <w:pPr>
              <w:pStyle w:val="null3"/>
              <w:ind w:firstLine="396"/>
              <w:jc w:val="both"/>
            </w:pPr>
            <w:r>
              <w:rPr>
                <w:rFonts w:ascii="仿宋_GB2312" w:hAnsi="仿宋_GB2312" w:cs="仿宋_GB2312" w:eastAsia="仿宋_GB2312"/>
                <w:sz w:val="20"/>
              </w:rPr>
              <w:t>(三)安全性要求</w:t>
            </w:r>
          </w:p>
          <w:p>
            <w:pPr>
              <w:pStyle w:val="null3"/>
              <w:ind w:firstLine="396"/>
              <w:jc w:val="both"/>
            </w:pPr>
            <w:r>
              <w:rPr>
                <w:rFonts w:ascii="仿宋_GB2312" w:hAnsi="仿宋_GB2312" w:cs="仿宋_GB2312" w:eastAsia="仿宋_GB2312"/>
                <w:sz w:val="20"/>
              </w:rPr>
              <w:t>1.合规基础：在信息系统等级保护定级基础上，从管理体系、技术体系上进行系统安全设计规划与建设，形成多个层面的安全保障体系，可满足国家、省、市对网络安全相关要求。</w:t>
            </w:r>
          </w:p>
          <w:p>
            <w:pPr>
              <w:pStyle w:val="null3"/>
              <w:ind w:firstLine="396"/>
              <w:jc w:val="both"/>
            </w:pPr>
            <w:r>
              <w:rPr>
                <w:rFonts w:ascii="仿宋_GB2312" w:hAnsi="仿宋_GB2312" w:cs="仿宋_GB2312" w:eastAsia="仿宋_GB2312"/>
                <w:sz w:val="20"/>
              </w:rPr>
              <w:t>2.数据安全：敏感数据需采用国密算法进行传输与存储，数据库字段级权限控制，定期备份并异地容灾，防止数据泄露与丢失。</w:t>
            </w:r>
          </w:p>
          <w:p>
            <w:pPr>
              <w:pStyle w:val="null3"/>
              <w:ind w:firstLine="396"/>
              <w:jc w:val="both"/>
            </w:pPr>
            <w:r>
              <w:rPr>
                <w:rFonts w:ascii="仿宋_GB2312" w:hAnsi="仿宋_GB2312" w:cs="仿宋_GB2312" w:eastAsia="仿宋_GB2312"/>
                <w:sz w:val="20"/>
              </w:rPr>
              <w:t>3.安全审计：系统需记录所有关键操作的详细日志，日志数据不可篡改，并保留至少180天；支持按用户、时间范围、操作类型筛选查询，同时向安全管理部门提供审计报告。</w:t>
            </w:r>
          </w:p>
          <w:p>
            <w:pPr>
              <w:pStyle w:val="null3"/>
              <w:ind w:firstLine="396"/>
              <w:jc w:val="both"/>
            </w:pPr>
            <w:r>
              <w:rPr>
                <w:rFonts w:ascii="仿宋_GB2312" w:hAnsi="仿宋_GB2312" w:cs="仿宋_GB2312" w:eastAsia="仿宋_GB2312"/>
                <w:sz w:val="20"/>
              </w:rPr>
              <w:t>4.抗攻击能力：针对常见网络攻击，系统需部署WAF进行实时拦截，配置黑白名单规则；对用户输入数据进行严格校验，后端接口采用参数化查询防止SQL注入，前端展示内容进行HTML实体编码防御XSS。</w:t>
            </w:r>
          </w:p>
          <w:p>
            <w:pPr>
              <w:pStyle w:val="null3"/>
              <w:ind w:firstLine="396"/>
              <w:jc w:val="both"/>
            </w:pPr>
            <w:r>
              <w:rPr>
                <w:rFonts w:ascii="仿宋_GB2312" w:hAnsi="仿宋_GB2312" w:cs="仿宋_GB2312" w:eastAsia="仿宋_GB2312"/>
                <w:sz w:val="20"/>
              </w:rPr>
              <w:t>5.应急响应：制定网络安全应急预案，每半年开展一次应急演练；当发生安全事件时，需在30分钟内启动应急响应，通过流量清洗、数据隔离、漏洞修复等措施控制影响范围，并在24小时内向监管部门提交事件报告。</w:t>
            </w:r>
          </w:p>
          <w:p>
            <w:pPr>
              <w:pStyle w:val="null3"/>
              <w:ind w:firstLine="396"/>
              <w:jc w:val="both"/>
            </w:pPr>
            <w:r>
              <w:rPr>
                <w:rFonts w:ascii="仿宋_GB2312" w:hAnsi="仿宋_GB2312" w:cs="仿宋_GB2312" w:eastAsia="仿宋_GB2312"/>
                <w:sz w:val="20"/>
              </w:rPr>
              <w:t>(四)实用性要求</w:t>
            </w:r>
          </w:p>
          <w:p>
            <w:pPr>
              <w:pStyle w:val="null3"/>
              <w:ind w:firstLine="396"/>
              <w:jc w:val="both"/>
            </w:pPr>
            <w:r>
              <w:rPr>
                <w:rFonts w:ascii="仿宋_GB2312" w:hAnsi="仿宋_GB2312" w:cs="仿宋_GB2312" w:eastAsia="仿宋_GB2312"/>
                <w:sz w:val="20"/>
              </w:rPr>
              <w:t>1.需求贴合性：系统坚持以需求为导向，充分了解用户需求，系统设计人性化、专业化，符合业务人员日常习惯，界面友好，易于操作、使用。</w:t>
            </w:r>
          </w:p>
          <w:p>
            <w:pPr>
              <w:pStyle w:val="null3"/>
              <w:ind w:firstLine="396"/>
              <w:jc w:val="both"/>
            </w:pPr>
            <w:r>
              <w:rPr>
                <w:rFonts w:ascii="仿宋_GB2312" w:hAnsi="仿宋_GB2312" w:cs="仿宋_GB2312" w:eastAsia="仿宋_GB2312"/>
                <w:sz w:val="20"/>
              </w:rPr>
              <w:t>2.界面友好性：界面设计遵循“人性化+专业化”原则——采用扁平化布局、一致性交互逻辑，关键操作需二次确认并提示风险；功能入口清晰分层，支持自定义常用功能快捷方式。</w:t>
            </w:r>
          </w:p>
          <w:p>
            <w:pPr>
              <w:pStyle w:val="null3"/>
              <w:ind w:firstLine="396"/>
              <w:jc w:val="both"/>
            </w:pPr>
            <w:r>
              <w:rPr>
                <w:rFonts w:ascii="仿宋_GB2312" w:hAnsi="仿宋_GB2312" w:cs="仿宋_GB2312" w:eastAsia="仿宋_GB2312"/>
                <w:sz w:val="20"/>
              </w:rPr>
              <w:t>3.操作便捷性：支持业务人员日常习惯，交互过程响应迅速，错误提示通俗易懂。</w:t>
            </w:r>
          </w:p>
          <w:p>
            <w:pPr>
              <w:pStyle w:val="null3"/>
              <w:ind w:firstLine="396"/>
              <w:jc w:val="both"/>
            </w:pPr>
            <w:r>
              <w:rPr>
                <w:rFonts w:ascii="仿宋_GB2312" w:hAnsi="仿宋_GB2312" w:cs="仿宋_GB2312" w:eastAsia="仿宋_GB2312"/>
                <w:sz w:val="20"/>
              </w:rPr>
              <w:t>4.易用性优化：针对用户提供在线帮助文档与视频教程，降低学习成本；系统界面支持多终端适配，关键功能在移动端可完整操作，确保不同使用场景下的便利性。</w:t>
            </w:r>
          </w:p>
          <w:p>
            <w:pPr>
              <w:pStyle w:val="null3"/>
              <w:ind w:firstLine="396"/>
              <w:jc w:val="both"/>
            </w:pPr>
            <w:r>
              <w:rPr>
                <w:rFonts w:ascii="仿宋_GB2312" w:hAnsi="仿宋_GB2312" w:cs="仿宋_GB2312" w:eastAsia="仿宋_GB2312"/>
                <w:sz w:val="20"/>
              </w:rPr>
              <w:t>5.移动适配：支持PC端与移动端多终端访问，移动端界面采用响应式设计，关键功能可在移动端完整操作；针对移动网络环境，优化数据传输协议，确保弱网环境下操作流畅。</w:t>
            </w:r>
          </w:p>
          <w:p>
            <w:pPr>
              <w:pStyle w:val="null3"/>
              <w:ind w:firstLine="396"/>
              <w:jc w:val="both"/>
            </w:pPr>
            <w:r>
              <w:rPr>
                <w:rFonts w:ascii="仿宋_GB2312" w:hAnsi="仿宋_GB2312" w:cs="仿宋_GB2312" w:eastAsia="仿宋_GB2312"/>
                <w:sz w:val="20"/>
              </w:rPr>
              <w:t>6.协同能力：支持多用户协同操作，通过版本控制机制避免数据覆盖，相关操作记录自动关联至业务数据，便于追溯责任。</w:t>
            </w:r>
          </w:p>
          <w:p>
            <w:pPr>
              <w:pStyle w:val="null3"/>
              <w:jc w:val="both"/>
            </w:pPr>
            <w:r>
              <w:rPr>
                <w:rFonts w:ascii="仿宋_GB2312" w:hAnsi="仿宋_GB2312" w:cs="仿宋_GB2312" w:eastAsia="仿宋_GB2312"/>
                <w:sz w:val="20"/>
              </w:rPr>
              <w:t>7.持续优化：建立用户反馈渠道，定期收集用户使用体验；每季度发布系统优化版本，并根据业务变化快速迭代，确保系统始终贴合实际需求，提升长期使用价值。</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01"/>
              <w:jc w:val="both"/>
            </w:pPr>
            <w:r>
              <w:rPr>
                <w:rFonts w:ascii="仿宋_GB2312" w:hAnsi="仿宋_GB2312" w:cs="仿宋_GB2312" w:eastAsia="仿宋_GB2312"/>
                <w:sz w:val="20"/>
                <w:b/>
                <w:color w:val="000000"/>
              </w:rPr>
              <w:t>服务</w:t>
            </w:r>
            <w:r>
              <w:rPr>
                <w:rFonts w:ascii="仿宋_GB2312" w:hAnsi="仿宋_GB2312" w:cs="仿宋_GB2312" w:eastAsia="仿宋_GB2312"/>
                <w:sz w:val="20"/>
                <w:b/>
                <w:color w:val="000000"/>
              </w:rPr>
              <w:t>要求</w:t>
            </w:r>
          </w:p>
          <w:p>
            <w:pPr>
              <w:pStyle w:val="null3"/>
              <w:ind w:firstLine="396"/>
              <w:jc w:val="both"/>
            </w:pPr>
            <w:r>
              <w:rPr>
                <w:rFonts w:ascii="仿宋_GB2312" w:hAnsi="仿宋_GB2312" w:cs="仿宋_GB2312" w:eastAsia="仿宋_GB2312"/>
                <w:sz w:val="20"/>
              </w:rPr>
              <w:t>1.依据《政府采购法》和政府购买服务的相关要求，服务商应具有独立的法人资格;具有不动产登记和权调系统开发相关的工作业绩;具有健全的技术和质量管理制度。</w:t>
            </w:r>
          </w:p>
          <w:p>
            <w:pPr>
              <w:pStyle w:val="null3"/>
              <w:ind w:firstLine="396"/>
              <w:jc w:val="both"/>
            </w:pPr>
            <w:r>
              <w:rPr>
                <w:rFonts w:ascii="仿宋_GB2312" w:hAnsi="仿宋_GB2312" w:cs="仿宋_GB2312" w:eastAsia="仿宋_GB2312"/>
                <w:sz w:val="20"/>
              </w:rPr>
              <w:t>2.服务商在项目实施过程中,必须严格遵守采购人的相关管理制度,并按照要求签订保密协议,不得有泄密、人为损坏采购人设备及工作成果、不遵守工作纪律等不法行为,由此造成的一切后果及法律责任由中标投标人承担。本项目工作数据属于保密数据，服务商工作过程中必须严格按照国家保密工作规程操作，以保障对整个工作成果及接触到的相关工作资料进行保密，并提供相关保密制度。</w:t>
            </w:r>
          </w:p>
          <w:p>
            <w:pPr>
              <w:pStyle w:val="null3"/>
              <w:ind w:firstLine="396"/>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项目拟投入人员至少</w:t>
            </w:r>
            <w:r>
              <w:rPr>
                <w:rFonts w:ascii="仿宋_GB2312" w:hAnsi="仿宋_GB2312" w:cs="仿宋_GB2312" w:eastAsia="仿宋_GB2312"/>
                <w:sz w:val="20"/>
              </w:rPr>
              <w:t>8</w:t>
            </w:r>
            <w:r>
              <w:rPr>
                <w:rFonts w:ascii="仿宋_GB2312" w:hAnsi="仿宋_GB2312" w:cs="仿宋_GB2312" w:eastAsia="仿宋_GB2312"/>
                <w:sz w:val="20"/>
              </w:rPr>
              <w:t>人</w:t>
            </w:r>
            <w:r>
              <w:rPr>
                <w:rFonts w:ascii="仿宋_GB2312" w:hAnsi="仿宋_GB2312" w:cs="仿宋_GB2312" w:eastAsia="仿宋_GB2312"/>
                <w:sz w:val="20"/>
              </w:rPr>
              <w:t>，提供项目人员资历情况，以毕业证书</w:t>
            </w:r>
            <w:r>
              <w:rPr>
                <w:rFonts w:ascii="仿宋_GB2312" w:hAnsi="仿宋_GB2312" w:cs="仿宋_GB2312" w:eastAsia="仿宋_GB2312"/>
                <w:sz w:val="20"/>
              </w:rPr>
              <w:t>或</w:t>
            </w:r>
            <w:r>
              <w:rPr>
                <w:rFonts w:ascii="仿宋_GB2312" w:hAnsi="仿宋_GB2312" w:cs="仿宋_GB2312" w:eastAsia="仿宋_GB2312"/>
                <w:sz w:val="20"/>
              </w:rPr>
              <w:t>专业职称证书等为依据，在工作中有相应资料体现或记录。</w:t>
            </w:r>
          </w:p>
          <w:p>
            <w:pPr>
              <w:pStyle w:val="null3"/>
              <w:ind w:firstLine="396"/>
              <w:jc w:val="both"/>
            </w:pPr>
            <w:r>
              <w:rPr>
                <w:rFonts w:ascii="仿宋_GB2312" w:hAnsi="仿宋_GB2312" w:cs="仿宋_GB2312" w:eastAsia="仿宋_GB2312"/>
                <w:sz w:val="20"/>
              </w:rPr>
              <w:t>4</w:t>
            </w:r>
            <w:r>
              <w:rPr>
                <w:rFonts w:ascii="仿宋_GB2312" w:hAnsi="仿宋_GB2312" w:cs="仿宋_GB2312" w:eastAsia="仿宋_GB2312"/>
                <w:sz w:val="20"/>
              </w:rPr>
              <w:t>.服务商在合同执行期间，需义务为采购方人员提供相关培训，确保其正确使用工作成果。具体要求如下：</w:t>
            </w:r>
          </w:p>
          <w:p>
            <w:pPr>
              <w:pStyle w:val="null3"/>
              <w:ind w:firstLine="396"/>
              <w:jc w:val="both"/>
            </w:pPr>
            <w:r>
              <w:rPr>
                <w:rFonts w:ascii="仿宋_GB2312" w:hAnsi="仿宋_GB2312" w:cs="仿宋_GB2312" w:eastAsia="仿宋_GB2312"/>
                <w:sz w:val="20"/>
              </w:rPr>
              <w:t>（1）培训对象应分为各级普通用户和系统管理员，培训内容包括应用业务操作、系统配置、系统安装等。</w:t>
            </w:r>
          </w:p>
          <w:p>
            <w:pPr>
              <w:pStyle w:val="null3"/>
              <w:ind w:firstLine="396"/>
              <w:jc w:val="both"/>
            </w:pPr>
            <w:r>
              <w:rPr>
                <w:rFonts w:ascii="仿宋_GB2312" w:hAnsi="仿宋_GB2312" w:cs="仿宋_GB2312" w:eastAsia="仿宋_GB2312"/>
                <w:sz w:val="20"/>
              </w:rPr>
              <w:t>（2）中标供应商提供相关系统构成、基本原理、安装、运行和维护的免费课堂培训和操作培训。</w:t>
            </w:r>
          </w:p>
          <w:p>
            <w:pPr>
              <w:pStyle w:val="null3"/>
              <w:ind w:firstLine="396"/>
              <w:jc w:val="both"/>
            </w:pPr>
            <w:r>
              <w:rPr>
                <w:rFonts w:ascii="仿宋_GB2312" w:hAnsi="仿宋_GB2312" w:cs="仿宋_GB2312" w:eastAsia="仿宋_GB2312"/>
                <w:sz w:val="20"/>
              </w:rPr>
              <w:t>（3）所有的培训均应使用中文普通话进行。</w:t>
            </w:r>
          </w:p>
          <w:p>
            <w:pPr>
              <w:pStyle w:val="null3"/>
              <w:ind w:firstLine="396"/>
              <w:jc w:val="both"/>
            </w:pPr>
            <w:r>
              <w:rPr>
                <w:rFonts w:ascii="仿宋_GB2312" w:hAnsi="仿宋_GB2312" w:cs="仿宋_GB2312" w:eastAsia="仿宋_GB2312"/>
                <w:sz w:val="20"/>
              </w:rPr>
              <w:t>（4）培训方式应包括集中统一培训、分点培训、个人培训等方式。</w:t>
            </w:r>
          </w:p>
          <w:p>
            <w:pPr>
              <w:pStyle w:val="null3"/>
              <w:ind w:firstLine="396"/>
              <w:jc w:val="both"/>
            </w:pPr>
            <w:r>
              <w:rPr>
                <w:rFonts w:ascii="仿宋_GB2312" w:hAnsi="仿宋_GB2312" w:cs="仿宋_GB2312" w:eastAsia="仿宋_GB2312"/>
                <w:sz w:val="20"/>
              </w:rPr>
              <w:t>5.服务商在完成项目交付并完成验收后，需提供1年的免费维保服务，具体维护要求如下：</w:t>
            </w:r>
          </w:p>
          <w:p>
            <w:pPr>
              <w:pStyle w:val="null3"/>
              <w:ind w:firstLine="396"/>
              <w:jc w:val="both"/>
            </w:pPr>
            <w:r>
              <w:rPr>
                <w:rFonts w:ascii="仿宋_GB2312" w:hAnsi="仿宋_GB2312" w:cs="仿宋_GB2312" w:eastAsia="仿宋_GB2312"/>
                <w:sz w:val="20"/>
              </w:rPr>
              <w:t>（1）日常技术维护:对提供升级改造的系统模块进行例行或专项巡检、维护工作，确保系统模块稳定运行;</w:t>
            </w:r>
          </w:p>
          <w:p>
            <w:pPr>
              <w:pStyle w:val="null3"/>
              <w:ind w:firstLine="396"/>
              <w:jc w:val="both"/>
            </w:pPr>
            <w:r>
              <w:rPr>
                <w:rFonts w:ascii="仿宋_GB2312" w:hAnsi="仿宋_GB2312" w:cs="仿宋_GB2312" w:eastAsia="仿宋_GB2312"/>
                <w:sz w:val="20"/>
              </w:rPr>
              <w:t>（2）适应性维护:包括在应用过程中发现的功能模块故障、缺陷进行修复，以及采购人提出的合理适应性专项维护。</w:t>
            </w:r>
          </w:p>
          <w:p>
            <w:pPr>
              <w:pStyle w:val="null3"/>
              <w:ind w:firstLine="396"/>
              <w:jc w:val="both"/>
            </w:pPr>
            <w:r>
              <w:rPr>
                <w:rFonts w:ascii="仿宋_GB2312" w:hAnsi="仿宋_GB2312" w:cs="仿宋_GB2312" w:eastAsia="仿宋_GB2312"/>
                <w:sz w:val="20"/>
              </w:rPr>
              <w:t>（3）系统软件故障响应时间: 工作日期间 9:00-18:00 的响应时间为 30 分钟内，若电话无法解决，维护工程师应在接到保障后 2 小时内到现场处理应用系统出现的故障，其余时间的响应时间为 2小时内。</w:t>
            </w:r>
          </w:p>
          <w:p>
            <w:pPr>
              <w:pStyle w:val="null3"/>
              <w:ind w:firstLine="396"/>
              <w:jc w:val="both"/>
            </w:pPr>
            <w:r>
              <w:rPr>
                <w:rFonts w:ascii="仿宋_GB2312" w:hAnsi="仿宋_GB2312" w:cs="仿宋_GB2312" w:eastAsia="仿宋_GB2312"/>
                <w:sz w:val="20"/>
              </w:rPr>
              <w:t>（4）维护方式：</w:t>
            </w:r>
          </w:p>
          <w:p>
            <w:pPr>
              <w:pStyle w:val="null3"/>
              <w:jc w:val="both"/>
            </w:pPr>
            <w:r>
              <w:rPr>
                <w:rFonts w:ascii="仿宋_GB2312" w:hAnsi="仿宋_GB2312" w:cs="仿宋_GB2312" w:eastAsia="仿宋_GB2312"/>
                <w:sz w:val="20"/>
              </w:rPr>
              <w:t>每日通过监控工具检查系统运行状态、日志文件，及时发现并处理潜在问题；建立故障响应机制，常规故障30分钟内响应并修复，重大故障1小时内启动应急流程并上报，确保故障快速定位与解决；根据发布的补丁或业务需求，制定升级计划，在非工作时间进行升级，升级前完成数据备份与兼容性测试，升级后评估系统稳定性。</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00"/>
              <w:jc w:val="left"/>
            </w:pPr>
            <w:r>
              <w:rPr>
                <w:rFonts w:ascii="仿宋_GB2312" w:hAnsi="仿宋_GB2312" w:cs="仿宋_GB2312" w:eastAsia="仿宋_GB2312"/>
                <w:sz w:val="20"/>
                <w:color w:val="000000"/>
              </w:rPr>
              <w:t>商务要求（如服务期限、款项结算等）</w:t>
            </w:r>
          </w:p>
          <w:p>
            <w:pPr>
              <w:pStyle w:val="null3"/>
              <w:ind w:firstLine="396"/>
              <w:jc w:val="both"/>
            </w:pPr>
            <w:r>
              <w:rPr>
                <w:rFonts w:ascii="仿宋_GB2312" w:hAnsi="仿宋_GB2312" w:cs="仿宋_GB2312" w:eastAsia="仿宋_GB2312"/>
                <w:sz w:val="20"/>
              </w:rPr>
              <w:t>（一）服务期限</w:t>
            </w:r>
          </w:p>
          <w:p>
            <w:pPr>
              <w:pStyle w:val="null3"/>
              <w:ind w:firstLine="396"/>
              <w:jc w:val="both"/>
            </w:pPr>
            <w:r>
              <w:rPr>
                <w:rFonts w:ascii="仿宋_GB2312" w:hAnsi="仿宋_GB2312" w:cs="仿宋_GB2312" w:eastAsia="仿宋_GB2312"/>
                <w:sz w:val="20"/>
              </w:rPr>
              <w:t>合同签订之日起</w:t>
            </w:r>
            <w:r>
              <w:rPr>
                <w:rFonts w:ascii="仿宋_GB2312" w:hAnsi="仿宋_GB2312" w:cs="仿宋_GB2312" w:eastAsia="仿宋_GB2312"/>
                <w:sz w:val="20"/>
              </w:rPr>
              <w:t>8个月内完成</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（二）款项结算</w:t>
            </w:r>
          </w:p>
          <w:p>
            <w:pPr>
              <w:pStyle w:val="null3"/>
              <w:jc w:val="both"/>
            </w:pPr>
            <w:r>
              <w:rPr>
                <w:rFonts w:ascii="仿宋_GB2312" w:hAnsi="仿宋_GB2312" w:cs="仿宋_GB2312" w:eastAsia="仿宋_GB2312"/>
                <w:sz w:val="20"/>
              </w:rPr>
              <w:t>付款方式为分期付款，合同签订后一个月内，甲方支付乙方合同总价款的60%；系统开发结束，并交甲方验收合格之日起，甲方一个月内支付乙方合同总价款的40.00%。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01"/>
              <w:jc w:val="left"/>
            </w:pPr>
            <w:r>
              <w:rPr>
                <w:rFonts w:ascii="仿宋_GB2312" w:hAnsi="仿宋_GB2312" w:cs="仿宋_GB2312" w:eastAsia="仿宋_GB2312"/>
                <w:sz w:val="20"/>
                <w:b/>
                <w:color w:val="000000"/>
              </w:rPr>
              <w:t>其他（如有要求，请写明）</w:t>
            </w:r>
          </w:p>
          <w:p>
            <w:pPr>
              <w:pStyle w:val="null3"/>
              <w:ind w:firstLine="397"/>
              <w:jc w:val="both"/>
            </w:pPr>
            <w:r>
              <w:rPr>
                <w:rFonts w:ascii="仿宋_GB2312" w:hAnsi="仿宋_GB2312" w:cs="仿宋_GB2312" w:eastAsia="仿宋_GB2312"/>
                <w:sz w:val="20"/>
                <w:b/>
              </w:rPr>
              <w:t>（一）交付成果</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1.源代码</w:t>
            </w:r>
          </w:p>
          <w:p>
            <w:pPr>
              <w:pStyle w:val="null3"/>
              <w:ind w:firstLine="396"/>
              <w:jc w:val="both"/>
            </w:pPr>
            <w:r>
              <w:rPr>
                <w:rFonts w:ascii="仿宋_GB2312" w:hAnsi="仿宋_GB2312" w:cs="仿宋_GB2312" w:eastAsia="仿宋_GB2312"/>
                <w:sz w:val="20"/>
              </w:rPr>
              <w:t>2025年西安市不动产登记及权调应急开发</w:t>
            </w:r>
            <w:r>
              <w:rPr>
                <w:rFonts w:ascii="仿宋_GB2312" w:hAnsi="仿宋_GB2312" w:cs="仿宋_GB2312" w:eastAsia="仿宋_GB2312"/>
                <w:sz w:val="20"/>
              </w:rPr>
              <w:t>相关功能模块的源代码。</w:t>
            </w:r>
          </w:p>
          <w:p>
            <w:pPr>
              <w:pStyle w:val="null3"/>
              <w:ind w:firstLine="396"/>
              <w:jc w:val="both"/>
            </w:pPr>
            <w:r>
              <w:rPr>
                <w:rFonts w:ascii="仿宋_GB2312" w:hAnsi="仿宋_GB2312" w:cs="仿宋_GB2312" w:eastAsia="仿宋_GB2312"/>
                <w:sz w:val="20"/>
              </w:rPr>
              <w:t>2.文档成果</w:t>
            </w:r>
          </w:p>
          <w:p>
            <w:pPr>
              <w:pStyle w:val="null3"/>
              <w:numPr>
                <w:ilvl w:val="0"/>
                <w:numId w:val="1"/>
              </w:numPr>
              <w:jc w:val="both"/>
            </w:pPr>
            <w:r>
              <w:rPr>
                <w:rFonts w:ascii="仿宋_GB2312" w:hAnsi="仿宋_GB2312" w:cs="仿宋_GB2312" w:eastAsia="仿宋_GB2312"/>
                <w:sz w:val="20"/>
              </w:rPr>
              <w:t>需求文档，包含需求调研计划、需求分析、项目需求规格说明书、需求规格说明书报审表、需求评审等需求相关文档;</w:t>
            </w:r>
          </w:p>
          <w:p>
            <w:pPr>
              <w:pStyle w:val="null3"/>
              <w:numPr>
                <w:ilvl w:val="0"/>
                <w:numId w:val="1"/>
              </w:numPr>
              <w:jc w:val="both"/>
            </w:pPr>
            <w:r>
              <w:rPr>
                <w:rFonts w:ascii="仿宋_GB2312" w:hAnsi="仿宋_GB2312" w:cs="仿宋_GB2312" w:eastAsia="仿宋_GB2312"/>
                <w:sz w:val="20"/>
              </w:rPr>
              <w:t>设计文档，包含概要设计说明书、详细设计说明书、数据库设计说明书、接口文档、模块开发卷宗、网络设计等设计文档及相应评审文档；</w:t>
            </w:r>
          </w:p>
          <w:p>
            <w:pPr>
              <w:pStyle w:val="null3"/>
              <w:numPr>
                <w:ilvl w:val="0"/>
                <w:numId w:val="1"/>
              </w:numPr>
              <w:jc w:val="both"/>
            </w:pPr>
            <w:r>
              <w:rPr>
                <w:rFonts w:ascii="仿宋_GB2312" w:hAnsi="仿宋_GB2312" w:cs="仿宋_GB2312" w:eastAsia="仿宋_GB2312"/>
                <w:sz w:val="20"/>
              </w:rPr>
              <w:t>测试文档</w:t>
            </w:r>
            <w:r>
              <w:rPr>
                <w:rFonts w:ascii="仿宋_GB2312" w:hAnsi="仿宋_GB2312" w:cs="仿宋_GB2312" w:eastAsia="仿宋_GB2312"/>
                <w:sz w:val="20"/>
              </w:rPr>
              <w:t>，</w:t>
            </w:r>
            <w:r>
              <w:rPr>
                <w:rFonts w:ascii="仿宋_GB2312" w:hAnsi="仿宋_GB2312" w:cs="仿宋_GB2312" w:eastAsia="仿宋_GB2312"/>
                <w:sz w:val="20"/>
              </w:rPr>
              <w:t>包含测试计划、测试记录（用例执行情况）、功能测试报告、性能测试报告、安全测试报告等</w:t>
            </w:r>
          </w:p>
          <w:p>
            <w:pPr>
              <w:pStyle w:val="null3"/>
              <w:numPr>
                <w:ilvl w:val="0"/>
                <w:numId w:val="1"/>
              </w:numPr>
              <w:jc w:val="both"/>
            </w:pPr>
            <w:r>
              <w:rPr>
                <w:rFonts w:ascii="仿宋_GB2312" w:hAnsi="仿宋_GB2312" w:cs="仿宋_GB2312" w:eastAsia="仿宋_GB2312"/>
                <w:sz w:val="20"/>
              </w:rPr>
              <w:t>安装部署手册，包含服务器、数据库、 中间件、 网络等支撑环境部署手册</w:t>
            </w:r>
          </w:p>
          <w:p>
            <w:pPr>
              <w:pStyle w:val="null3"/>
              <w:numPr>
                <w:ilvl w:val="0"/>
                <w:numId w:val="1"/>
              </w:numPr>
              <w:jc w:val="both"/>
            </w:pPr>
            <w:r>
              <w:rPr>
                <w:rFonts w:ascii="仿宋_GB2312" w:hAnsi="仿宋_GB2312" w:cs="仿宋_GB2312" w:eastAsia="仿宋_GB2312"/>
                <w:sz w:val="20"/>
              </w:rPr>
              <w:t>运行维护方案，包括运维角色划分、维护范围内容措施等；运行维护记录包含项目运行、维护、问题发现及处理记录等</w:t>
            </w:r>
          </w:p>
          <w:p>
            <w:pPr>
              <w:pStyle w:val="null3"/>
              <w:numPr>
                <w:ilvl w:val="0"/>
                <w:numId w:val="1"/>
              </w:numPr>
              <w:jc w:val="both"/>
            </w:pPr>
            <w:r>
              <w:rPr>
                <w:rFonts w:ascii="仿宋_GB2312" w:hAnsi="仿宋_GB2312" w:cs="仿宋_GB2312" w:eastAsia="仿宋_GB2312"/>
                <w:sz w:val="20"/>
              </w:rPr>
              <w:t>用户使用手册</w:t>
            </w:r>
          </w:p>
          <w:p>
            <w:pPr>
              <w:pStyle w:val="null3"/>
              <w:numPr>
                <w:ilvl w:val="0"/>
                <w:numId w:val="1"/>
              </w:numPr>
              <w:jc w:val="both"/>
            </w:pPr>
            <w:r>
              <w:rPr>
                <w:rFonts w:ascii="仿宋_GB2312" w:hAnsi="仿宋_GB2312" w:cs="仿宋_GB2312" w:eastAsia="仿宋_GB2312"/>
                <w:sz w:val="20"/>
              </w:rPr>
              <w:t>移交清单</w:t>
            </w:r>
          </w:p>
          <w:p>
            <w:pPr>
              <w:pStyle w:val="null3"/>
              <w:numPr>
                <w:ilvl w:val="0"/>
                <w:numId w:val="1"/>
              </w:numPr>
              <w:jc w:val="both"/>
            </w:pPr>
            <w:r>
              <w:rPr>
                <w:rFonts w:ascii="仿宋_GB2312" w:hAnsi="仿宋_GB2312" w:cs="仿宋_GB2312" w:eastAsia="仿宋_GB2312"/>
                <w:sz w:val="20"/>
              </w:rPr>
              <w:t>初步验收意见</w:t>
            </w:r>
          </w:p>
          <w:p>
            <w:pPr>
              <w:pStyle w:val="null3"/>
              <w:numPr>
                <w:ilvl w:val="0"/>
                <w:numId w:val="1"/>
              </w:numPr>
              <w:jc w:val="both"/>
            </w:pPr>
            <w:r>
              <w:rPr>
                <w:rFonts w:ascii="仿宋_GB2312" w:hAnsi="仿宋_GB2312" w:cs="仿宋_GB2312" w:eastAsia="仿宋_GB2312"/>
                <w:sz w:val="20"/>
              </w:rPr>
              <w:t>初步验收问题整改报告</w:t>
            </w:r>
          </w:p>
          <w:p>
            <w:pPr>
              <w:pStyle w:val="null3"/>
              <w:numPr>
                <w:ilvl w:val="0"/>
                <w:numId w:val="1"/>
              </w:numPr>
              <w:jc w:val="both"/>
            </w:pPr>
            <w:r>
              <w:rPr>
                <w:rFonts w:ascii="仿宋_GB2312" w:hAnsi="仿宋_GB2312" w:cs="仿宋_GB2312" w:eastAsia="仿宋_GB2312"/>
                <w:sz w:val="20"/>
              </w:rPr>
              <w:t>试运行方案及报告</w:t>
            </w:r>
          </w:p>
          <w:p>
            <w:pPr>
              <w:pStyle w:val="null3"/>
              <w:numPr>
                <w:ilvl w:val="0"/>
                <w:numId w:val="1"/>
              </w:numPr>
              <w:jc w:val="both"/>
            </w:pPr>
            <w:r>
              <w:rPr>
                <w:rFonts w:ascii="仿宋_GB2312" w:hAnsi="仿宋_GB2312" w:cs="仿宋_GB2312" w:eastAsia="仿宋_GB2312"/>
                <w:sz w:val="20"/>
              </w:rPr>
              <w:t>培训文档</w:t>
            </w:r>
          </w:p>
          <w:p>
            <w:pPr>
              <w:pStyle w:val="null3"/>
              <w:numPr>
                <w:ilvl w:val="0"/>
                <w:numId w:val="1"/>
              </w:numPr>
              <w:jc w:val="both"/>
            </w:pPr>
            <w:r>
              <w:rPr>
                <w:rFonts w:ascii="仿宋_GB2312" w:hAnsi="仿宋_GB2312" w:cs="仿宋_GB2312" w:eastAsia="仿宋_GB2312"/>
                <w:sz w:val="20"/>
              </w:rPr>
              <w:t>用户使用报告</w:t>
            </w:r>
          </w:p>
          <w:p>
            <w:pPr>
              <w:pStyle w:val="null3"/>
              <w:numPr>
                <w:ilvl w:val="0"/>
                <w:numId w:val="1"/>
              </w:numPr>
              <w:jc w:val="both"/>
            </w:pPr>
            <w:r>
              <w:rPr>
                <w:rFonts w:ascii="仿宋_GB2312" w:hAnsi="仿宋_GB2312" w:cs="仿宋_GB2312" w:eastAsia="仿宋_GB2312"/>
                <w:sz w:val="20"/>
              </w:rPr>
              <w:t>试运行总结报告</w:t>
            </w:r>
          </w:p>
          <w:p>
            <w:pPr>
              <w:pStyle w:val="null3"/>
              <w:numPr>
                <w:ilvl w:val="0"/>
                <w:numId w:val="1"/>
              </w:numPr>
              <w:jc w:val="both"/>
            </w:pPr>
            <w:r>
              <w:rPr>
                <w:rFonts w:ascii="仿宋_GB2312" w:hAnsi="仿宋_GB2312" w:cs="仿宋_GB2312" w:eastAsia="仿宋_GB2312"/>
                <w:sz w:val="20"/>
              </w:rPr>
              <w:t>试运行验收意见</w:t>
            </w:r>
          </w:p>
          <w:p>
            <w:pPr>
              <w:pStyle w:val="null3"/>
              <w:numPr>
                <w:ilvl w:val="0"/>
                <w:numId w:val="1"/>
              </w:numPr>
              <w:jc w:val="both"/>
            </w:pPr>
            <w:r>
              <w:rPr>
                <w:rFonts w:ascii="仿宋_GB2312" w:hAnsi="仿宋_GB2312" w:cs="仿宋_GB2312" w:eastAsia="仿宋_GB2312"/>
                <w:sz w:val="20"/>
              </w:rPr>
              <w:t>试运行验收问题整改报告</w:t>
            </w:r>
          </w:p>
          <w:p>
            <w:pPr>
              <w:pStyle w:val="null3"/>
              <w:numPr>
                <w:ilvl w:val="0"/>
                <w:numId w:val="1"/>
              </w:numPr>
              <w:jc w:val="both"/>
            </w:pPr>
            <w:r>
              <w:rPr>
                <w:rFonts w:ascii="仿宋_GB2312" w:hAnsi="仿宋_GB2312" w:cs="仿宋_GB2312" w:eastAsia="仿宋_GB2312"/>
                <w:sz w:val="20"/>
              </w:rPr>
              <w:t>竣工验收意见</w:t>
            </w:r>
          </w:p>
          <w:p>
            <w:pPr>
              <w:pStyle w:val="null3"/>
              <w:numPr>
                <w:ilvl w:val="0"/>
                <w:numId w:val="1"/>
              </w:numPr>
              <w:jc w:val="both"/>
            </w:pPr>
            <w:r>
              <w:rPr>
                <w:rFonts w:ascii="仿宋_GB2312" w:hAnsi="仿宋_GB2312" w:cs="仿宋_GB2312" w:eastAsia="仿宋_GB2312"/>
                <w:sz w:val="20"/>
              </w:rPr>
              <w:t>项目总结报告</w:t>
            </w:r>
          </w:p>
          <w:p>
            <w:pPr>
              <w:pStyle w:val="null3"/>
              <w:numPr>
                <w:ilvl w:val="0"/>
                <w:numId w:val="1"/>
              </w:numPr>
              <w:jc w:val="both"/>
            </w:pPr>
            <w:r>
              <w:rPr>
                <w:rFonts w:ascii="仿宋_GB2312" w:hAnsi="仿宋_GB2312" w:cs="仿宋_GB2312" w:eastAsia="仿宋_GB2312"/>
                <w:sz w:val="20"/>
              </w:rPr>
              <w:t>其他管理过程文档</w:t>
            </w:r>
          </w:p>
          <w:p>
            <w:pPr>
              <w:pStyle w:val="null3"/>
              <w:ind w:firstLine="397"/>
              <w:jc w:val="both"/>
            </w:pPr>
            <w:r>
              <w:rPr>
                <w:rFonts w:ascii="仿宋_GB2312" w:hAnsi="仿宋_GB2312" w:cs="仿宋_GB2312" w:eastAsia="仿宋_GB2312"/>
                <w:sz w:val="20"/>
                <w:b/>
              </w:rPr>
              <w:t>（二）验收标准</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采购人应严格按照项目验收流程和标准组织项目验收工作，原则上不得简化验收程序；在项目验收过程中，不得弄虚作假，不得以不正当手段干预、妨碍验收工作正常进行；应如实提供项目竣工验收有关资料和数据，不得隐匿、虚报瞒报有关资料和数据；对项目验收过程中发现的问题，应当及时组织相关责任方完成整改。</w:t>
            </w:r>
          </w:p>
          <w:p>
            <w:pPr>
              <w:pStyle w:val="null3"/>
              <w:ind w:firstLine="396"/>
              <w:jc w:val="both"/>
            </w:pPr>
            <w:r>
              <w:rPr>
                <w:rFonts w:ascii="仿宋_GB2312" w:hAnsi="仿宋_GB2312" w:cs="仿宋_GB2312" w:eastAsia="仿宋_GB2312"/>
                <w:sz w:val="20"/>
              </w:rPr>
              <w:t>验收分为初步验收、试运行验收和竣工验收。</w:t>
            </w:r>
          </w:p>
          <w:p>
            <w:pPr>
              <w:pStyle w:val="null3"/>
              <w:ind w:firstLine="396"/>
              <w:jc w:val="both"/>
            </w:pPr>
            <w:r>
              <w:rPr>
                <w:rFonts w:ascii="仿宋_GB2312" w:hAnsi="仿宋_GB2312" w:cs="仿宋_GB2312" w:eastAsia="仿宋_GB2312"/>
                <w:sz w:val="20"/>
              </w:rPr>
              <w:t>初步验收：在项目主要建设内容完成，系统具备基本运行条件后，由采购人组织相关单位对项目进行初步验收。初步验收重点检查项目是否完成合同约定的建设内容，系统功能是否达到设计要求，文档资料是否齐全。初步验收通过后，项目方可进入试运行阶段。</w:t>
            </w:r>
          </w:p>
          <w:p>
            <w:pPr>
              <w:pStyle w:val="null3"/>
              <w:ind w:firstLine="396"/>
              <w:jc w:val="both"/>
            </w:pPr>
            <w:r>
              <w:rPr>
                <w:rFonts w:ascii="仿宋_GB2312" w:hAnsi="仿宋_GB2312" w:cs="仿宋_GB2312" w:eastAsia="仿宋_GB2312"/>
                <w:sz w:val="20"/>
              </w:rPr>
              <w:t>试运行验收：项目通过初步验收后进入试运行阶段，试运行期一般不少于30天（或根据项目实际情况确定具体期限）。试运行期间，系统应稳定运行，各项性能指标满足合同及技术规范要求。试运行期满后，由采购人组织对试运行情况进行评估，检查系统运行日志、故障处理记录、用户反馈等，确认系统运行稳定、功能完善、性能达标，方可通过试运行验收。</w:t>
            </w:r>
          </w:p>
          <w:p>
            <w:pPr>
              <w:pStyle w:val="null3"/>
              <w:ind w:firstLine="396"/>
              <w:jc w:val="both"/>
            </w:pPr>
            <w:r>
              <w:rPr>
                <w:rFonts w:ascii="仿宋_GB2312" w:hAnsi="仿宋_GB2312" w:cs="仿宋_GB2312" w:eastAsia="仿宋_GB2312"/>
                <w:sz w:val="20"/>
              </w:rPr>
              <w:t>竣工验收：在项目通过试运行验收且所有问题整改完毕后，由采购人组织项目竣工验收。竣工验收是项目最终验收，应成立由相关专家、使用单位代表等组成的验收小组，依据项目合同、技术方案、国家及行业相关标准等，对项目进行全面、系统的审查和评估。验收内容包括但不限于：</w:t>
            </w:r>
          </w:p>
          <w:p>
            <w:pPr>
              <w:pStyle w:val="null3"/>
              <w:ind w:firstLine="396"/>
              <w:jc w:val="both"/>
            </w:pPr>
            <w:r>
              <w:rPr>
                <w:rFonts w:ascii="仿宋_GB2312" w:hAnsi="仿宋_GB2312" w:cs="仿宋_GB2312" w:eastAsia="仿宋_GB2312"/>
                <w:sz w:val="20"/>
              </w:rPr>
              <w:t>1.</w:t>
            </w:r>
            <w:r>
              <w:rPr>
                <w:rFonts w:ascii="仿宋_GB2312" w:hAnsi="仿宋_GB2312" w:cs="仿宋_GB2312" w:eastAsia="仿宋_GB2312"/>
                <w:sz w:val="20"/>
              </w:rPr>
              <w:t>项目整体建设目标的实现情况；</w:t>
            </w:r>
          </w:p>
          <w:p>
            <w:pPr>
              <w:pStyle w:val="null3"/>
              <w:ind w:firstLine="396"/>
              <w:jc w:val="both"/>
            </w:pPr>
            <w:r>
              <w:rPr>
                <w:rFonts w:ascii="仿宋_GB2312" w:hAnsi="仿宋_GB2312" w:cs="仿宋_GB2312" w:eastAsia="仿宋_GB2312"/>
                <w:sz w:val="20"/>
              </w:rPr>
              <w:t>2.</w:t>
            </w:r>
            <w:r>
              <w:rPr>
                <w:rFonts w:ascii="仿宋_GB2312" w:hAnsi="仿宋_GB2312" w:cs="仿宋_GB2312" w:eastAsia="仿宋_GB2312"/>
                <w:sz w:val="20"/>
              </w:rPr>
              <w:t>系统功能、性能指标的完成情况；</w:t>
            </w:r>
          </w:p>
          <w:p>
            <w:pPr>
              <w:pStyle w:val="null3"/>
              <w:ind w:firstLine="396"/>
              <w:jc w:val="both"/>
            </w:pPr>
            <w:r>
              <w:rPr>
                <w:rFonts w:ascii="仿宋_GB2312" w:hAnsi="仿宋_GB2312" w:cs="仿宋_GB2312" w:eastAsia="仿宋_GB2312"/>
                <w:sz w:val="20"/>
              </w:rPr>
              <w:t>3.</w:t>
            </w:r>
            <w:r>
              <w:rPr>
                <w:rFonts w:ascii="仿宋_GB2312" w:hAnsi="仿宋_GB2312" w:cs="仿宋_GB2312" w:eastAsia="仿宋_GB2312"/>
                <w:sz w:val="20"/>
              </w:rPr>
              <w:t>项目文档资料（包括设计文档、测试报告、用户手册、培训记录、运维方案等）的完整性与规范性；</w:t>
            </w:r>
          </w:p>
          <w:p>
            <w:pPr>
              <w:pStyle w:val="null3"/>
              <w:ind w:firstLine="396"/>
              <w:jc w:val="both"/>
            </w:pPr>
            <w:r>
              <w:rPr>
                <w:rFonts w:ascii="仿宋_GB2312" w:hAnsi="仿宋_GB2312" w:cs="仿宋_GB2312" w:eastAsia="仿宋_GB2312"/>
                <w:sz w:val="20"/>
              </w:rPr>
              <w:t>4.</w:t>
            </w:r>
            <w:r>
              <w:rPr>
                <w:rFonts w:ascii="仿宋_GB2312" w:hAnsi="仿宋_GB2312" w:cs="仿宋_GB2312" w:eastAsia="仿宋_GB2312"/>
                <w:sz w:val="20"/>
              </w:rPr>
              <w:t>试运行情况及问题整改情况；</w:t>
            </w:r>
          </w:p>
          <w:p>
            <w:pPr>
              <w:pStyle w:val="null3"/>
              <w:ind w:firstLine="396"/>
              <w:jc w:val="both"/>
            </w:pPr>
            <w:r>
              <w:rPr>
                <w:rFonts w:ascii="仿宋_GB2312" w:hAnsi="仿宋_GB2312" w:cs="仿宋_GB2312" w:eastAsia="仿宋_GB2312"/>
                <w:sz w:val="20"/>
              </w:rPr>
              <w:t>5.</w:t>
            </w:r>
            <w:r>
              <w:rPr>
                <w:rFonts w:ascii="仿宋_GB2312" w:hAnsi="仿宋_GB2312" w:cs="仿宋_GB2312" w:eastAsia="仿宋_GB2312"/>
                <w:sz w:val="20"/>
              </w:rPr>
              <w:t>项目资金使用情况；</w:t>
            </w:r>
          </w:p>
          <w:p>
            <w:pPr>
              <w:pStyle w:val="null3"/>
              <w:ind w:firstLine="396"/>
              <w:jc w:val="both"/>
            </w:pPr>
            <w:r>
              <w:rPr>
                <w:rFonts w:ascii="仿宋_GB2312" w:hAnsi="仿宋_GB2312" w:cs="仿宋_GB2312" w:eastAsia="仿宋_GB2312"/>
                <w:sz w:val="20"/>
              </w:rPr>
              <w:t>6.</w:t>
            </w:r>
            <w:r>
              <w:rPr>
                <w:rFonts w:ascii="仿宋_GB2312" w:hAnsi="仿宋_GB2312" w:cs="仿宋_GB2312" w:eastAsia="仿宋_GB2312"/>
                <w:sz w:val="20"/>
              </w:rPr>
              <w:t>项目培训及知识转移情况。</w:t>
            </w:r>
          </w:p>
          <w:p>
            <w:pPr>
              <w:pStyle w:val="null3"/>
              <w:jc w:val="both"/>
            </w:pPr>
            <w:r>
              <w:rPr>
                <w:rFonts w:ascii="仿宋_GB2312" w:hAnsi="仿宋_GB2312" w:cs="仿宋_GB2312" w:eastAsia="仿宋_GB2312"/>
                <w:sz w:val="20"/>
              </w:rPr>
              <w:t>竣工验收通过后，形成正式的竣工验收报告，项目正式移交采购人使用和管理。对验收中发现的问题，采购人应明确整改要求和时限，督促承建单位限期整改，并组织复验。未通过验收的项目，不得投入使用，采购人有权依据合同约定追究相关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标的名称：2025年西安市不动产登记及权调应急开发项目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1"/>
              <w:jc w:val="both"/>
            </w:pPr>
            <w:r>
              <w:rPr>
                <w:rFonts w:ascii="仿宋_GB2312" w:hAnsi="仿宋_GB2312" w:cs="仿宋_GB2312" w:eastAsia="仿宋_GB2312"/>
                <w:sz w:val="20"/>
                <w:b/>
                <w:color w:val="000000"/>
              </w:rPr>
              <w:t>项目概况</w:t>
            </w:r>
          </w:p>
          <w:p>
            <w:pPr>
              <w:pStyle w:val="null3"/>
              <w:ind w:firstLine="400"/>
            </w:pPr>
            <w:r>
              <w:rPr>
                <w:rFonts w:ascii="仿宋_GB2312" w:hAnsi="仿宋_GB2312" w:cs="仿宋_GB2312" w:eastAsia="仿宋_GB2312"/>
                <w:sz w:val="20"/>
              </w:rPr>
              <w:t>1.项目名称：2025年西安市不动产登记及权调应急开发项目 采购包2</w:t>
            </w:r>
          </w:p>
          <w:p>
            <w:pPr>
              <w:pStyle w:val="null3"/>
              <w:ind w:firstLine="400"/>
              <w:jc w:val="left"/>
            </w:pPr>
            <w:r>
              <w:rPr>
                <w:rFonts w:ascii="仿宋_GB2312" w:hAnsi="仿宋_GB2312" w:cs="仿宋_GB2312" w:eastAsia="仿宋_GB2312"/>
                <w:sz w:val="20"/>
              </w:rPr>
              <w:t>2.项目地点：西安市</w:t>
            </w:r>
          </w:p>
          <w:p>
            <w:pPr>
              <w:pStyle w:val="null3"/>
              <w:ind w:firstLine="400"/>
              <w:jc w:val="left"/>
            </w:pPr>
            <w:r>
              <w:rPr>
                <w:rFonts w:ascii="仿宋_GB2312" w:hAnsi="仿宋_GB2312" w:cs="仿宋_GB2312" w:eastAsia="仿宋_GB2312"/>
                <w:sz w:val="20"/>
              </w:rPr>
              <w:t>3.项目内容：</w:t>
            </w:r>
          </w:p>
          <w:p>
            <w:pPr>
              <w:pStyle w:val="null3"/>
              <w:jc w:val="both"/>
            </w:pPr>
            <w:r>
              <w:rPr>
                <w:rFonts w:ascii="仿宋_GB2312" w:hAnsi="仿宋_GB2312" w:cs="仿宋_GB2312" w:eastAsia="仿宋_GB2312"/>
                <w:sz w:val="20"/>
              </w:rPr>
              <w:t>该项目基于西安市不动产登记管理信息平台建设基础，为满足不动产登记业务深入开展与优化营商环境工作要求，对现有登记平台系统</w:t>
            </w:r>
            <w:r>
              <w:rPr>
                <w:rFonts w:ascii="仿宋_GB2312" w:hAnsi="仿宋_GB2312" w:cs="仿宋_GB2312" w:eastAsia="仿宋_GB2312"/>
                <w:sz w:val="20"/>
              </w:rPr>
              <w:t>与权籍调查系统</w:t>
            </w:r>
            <w:r>
              <w:rPr>
                <w:rFonts w:ascii="仿宋_GB2312" w:hAnsi="仿宋_GB2312" w:cs="仿宋_GB2312" w:eastAsia="仿宋_GB2312"/>
                <w:sz w:val="20"/>
              </w:rPr>
              <w:t>进行全面升级改造，完善不动产登记业务办理范围，拓展不动产登记业务办理渠道，优化登记系统业务办理效能，改善平台功能易用性。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1"/>
              <w:jc w:val="both"/>
            </w:pPr>
            <w:r>
              <w:rPr>
                <w:rFonts w:ascii="仿宋_GB2312" w:hAnsi="仿宋_GB2312" w:cs="仿宋_GB2312" w:eastAsia="仿宋_GB2312"/>
                <w:sz w:val="20"/>
                <w:b/>
                <w:color w:val="000000"/>
              </w:rPr>
              <w:t>服务内容</w:t>
            </w:r>
          </w:p>
          <w:p>
            <w:pPr>
              <w:pStyle w:val="null3"/>
              <w:ind w:firstLine="400"/>
            </w:pPr>
            <w:r>
              <w:rPr>
                <w:rFonts w:ascii="仿宋_GB2312" w:hAnsi="仿宋_GB2312" w:cs="仿宋_GB2312" w:eastAsia="仿宋_GB2312"/>
                <w:sz w:val="20"/>
              </w:rPr>
              <w:t>2025年西安市不动产登记及权调应急开发项目采购包2</w:t>
            </w:r>
            <w:r>
              <w:rPr>
                <w:rFonts w:ascii="仿宋_GB2312" w:hAnsi="仿宋_GB2312" w:cs="仿宋_GB2312" w:eastAsia="仿宋_GB2312"/>
                <w:sz w:val="20"/>
              </w:rPr>
              <w:t>为西安市不动产权籍调查系统新增系统功能，包括</w:t>
            </w:r>
            <w:r>
              <w:rPr>
                <w:rFonts w:ascii="仿宋_GB2312" w:hAnsi="仿宋_GB2312" w:cs="仿宋_GB2312" w:eastAsia="仿宋_GB2312"/>
                <w:sz w:val="20"/>
              </w:rPr>
              <w:t>权调系统与多测合一系统对接改造、新增房产成果的三维户图生成等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主要内容包括：</w:t>
            </w:r>
          </w:p>
          <w:p>
            <w:pPr>
              <w:pStyle w:val="null3"/>
              <w:jc w:val="both"/>
            </w:pPr>
            <w:r>
              <w:rPr>
                <w:rFonts w:ascii="仿宋_GB2312" w:hAnsi="仿宋_GB2312" w:cs="仿宋_GB2312" w:eastAsia="仿宋_GB2312"/>
                <w:sz w:val="20"/>
              </w:rPr>
              <w:t>权调系统新增功能。权调系统与多测合一系统对接改造，配合多测合一系统上线使用，权调系统改造企业端，在实现测绘机构或其他系统在线提交宗地取号、房产取号；新增房产成果的三维户图生成，权调系统（政务内）增加房产成果的三维户图上传、审核、导出、权调系统（政务外）增加三维户图成果导入，结合三维户图的模型算法，实现三维户图查询、展示;新增土地成果审核的土地空间数据历史状态，实现不动产一张图更新迭代，增加土地、房产历史数据加载及地图渲染，同时拓展不动产一张图属性查询。</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1"/>
              <w:jc w:val="both"/>
            </w:pPr>
            <w:r>
              <w:rPr>
                <w:rFonts w:ascii="仿宋_GB2312" w:hAnsi="仿宋_GB2312" w:cs="仿宋_GB2312" w:eastAsia="仿宋_GB2312"/>
                <w:sz w:val="20"/>
                <w:b/>
                <w:color w:val="000000"/>
              </w:rPr>
              <w:t>技术要求</w:t>
            </w:r>
          </w:p>
          <w:p>
            <w:pPr>
              <w:pStyle w:val="null3"/>
              <w:ind w:firstLine="396"/>
              <w:jc w:val="both"/>
            </w:pPr>
            <w:r>
              <w:rPr>
                <w:rFonts w:ascii="仿宋_GB2312" w:hAnsi="仿宋_GB2312" w:cs="仿宋_GB2312" w:eastAsia="仿宋_GB2312"/>
                <w:sz w:val="20"/>
              </w:rPr>
              <w:t>（一)技术标准与依据（注：以下技术标准与依据文件有最新标准的，按照最新标准文件执行。）</w:t>
            </w:r>
          </w:p>
          <w:p>
            <w:pPr>
              <w:pStyle w:val="null3"/>
              <w:ind w:firstLine="396"/>
              <w:jc w:val="both"/>
            </w:pPr>
            <w:r>
              <w:rPr>
                <w:rFonts w:ascii="仿宋_GB2312" w:hAnsi="仿宋_GB2312" w:cs="仿宋_GB2312" w:eastAsia="仿宋_GB2312"/>
                <w:sz w:val="20"/>
              </w:rPr>
              <w:t>1、法律法规及政策规定</w:t>
            </w:r>
          </w:p>
          <w:p>
            <w:pPr>
              <w:pStyle w:val="null3"/>
              <w:ind w:firstLine="396"/>
              <w:jc w:val="both"/>
            </w:pPr>
            <w:r>
              <w:rPr>
                <w:rFonts w:ascii="仿宋_GB2312" w:hAnsi="仿宋_GB2312" w:cs="仿宋_GB2312" w:eastAsia="仿宋_GB2312"/>
                <w:sz w:val="20"/>
              </w:rPr>
              <w:t>（1）《中华人民共和国宪法》；</w:t>
            </w:r>
          </w:p>
          <w:p>
            <w:pPr>
              <w:pStyle w:val="null3"/>
              <w:ind w:firstLine="396"/>
              <w:jc w:val="both"/>
            </w:pPr>
            <w:r>
              <w:rPr>
                <w:rFonts w:ascii="仿宋_GB2312" w:hAnsi="仿宋_GB2312" w:cs="仿宋_GB2312" w:eastAsia="仿宋_GB2312"/>
                <w:sz w:val="20"/>
              </w:rPr>
              <w:t>（2）《中华人民共和国土地管理法》；</w:t>
            </w:r>
          </w:p>
          <w:p>
            <w:pPr>
              <w:pStyle w:val="null3"/>
              <w:ind w:firstLine="396"/>
              <w:jc w:val="both"/>
            </w:pPr>
            <w:r>
              <w:rPr>
                <w:rFonts w:ascii="仿宋_GB2312" w:hAnsi="仿宋_GB2312" w:cs="仿宋_GB2312" w:eastAsia="仿宋_GB2312"/>
                <w:sz w:val="20"/>
              </w:rPr>
              <w:t>（3）《中华人民共和国民法典》；</w:t>
            </w:r>
          </w:p>
          <w:p>
            <w:pPr>
              <w:pStyle w:val="null3"/>
              <w:ind w:firstLine="396"/>
              <w:jc w:val="both"/>
            </w:pPr>
            <w:r>
              <w:rPr>
                <w:rFonts w:ascii="仿宋_GB2312" w:hAnsi="仿宋_GB2312" w:cs="仿宋_GB2312" w:eastAsia="仿宋_GB2312"/>
                <w:sz w:val="20"/>
              </w:rPr>
              <w:t>（4）《不动产登记暂行条例》；</w:t>
            </w:r>
          </w:p>
          <w:p>
            <w:pPr>
              <w:pStyle w:val="null3"/>
              <w:ind w:firstLine="396"/>
              <w:jc w:val="both"/>
            </w:pPr>
            <w:r>
              <w:rPr>
                <w:rFonts w:ascii="仿宋_GB2312" w:hAnsi="仿宋_GB2312" w:cs="仿宋_GB2312" w:eastAsia="仿宋_GB2312"/>
                <w:sz w:val="20"/>
              </w:rPr>
              <w:t>（5）《自然资源统一确权登记暂行办法》；</w:t>
            </w:r>
          </w:p>
          <w:p>
            <w:pPr>
              <w:pStyle w:val="null3"/>
              <w:ind w:firstLine="396"/>
              <w:jc w:val="both"/>
            </w:pPr>
            <w:r>
              <w:rPr>
                <w:rFonts w:ascii="仿宋_GB2312" w:hAnsi="仿宋_GB2312" w:cs="仿宋_GB2312" w:eastAsia="仿宋_GB2312"/>
                <w:sz w:val="20"/>
              </w:rPr>
              <w:t>（6）《陕西省自然资源统一确权登记总体工作方案》；</w:t>
            </w:r>
          </w:p>
          <w:p>
            <w:pPr>
              <w:pStyle w:val="null3"/>
              <w:ind w:firstLine="396"/>
              <w:jc w:val="both"/>
            </w:pPr>
            <w:r>
              <w:rPr>
                <w:rFonts w:ascii="仿宋_GB2312" w:hAnsi="仿宋_GB2312" w:cs="仿宋_GB2312" w:eastAsia="仿宋_GB2312"/>
                <w:sz w:val="20"/>
              </w:rPr>
              <w:t>2、技术标准</w:t>
            </w:r>
          </w:p>
          <w:p>
            <w:pPr>
              <w:pStyle w:val="null3"/>
              <w:ind w:firstLine="396"/>
              <w:jc w:val="both"/>
            </w:pPr>
            <w:r>
              <w:rPr>
                <w:rFonts w:ascii="仿宋_GB2312" w:hAnsi="仿宋_GB2312" w:cs="仿宋_GB2312" w:eastAsia="仿宋_GB2312"/>
                <w:sz w:val="20"/>
              </w:rPr>
              <w:t>（1）《不动产登记数据库标准》（TD/T 1066-2021）</w:t>
            </w:r>
          </w:p>
          <w:p>
            <w:pPr>
              <w:pStyle w:val="null3"/>
              <w:ind w:firstLine="396"/>
              <w:jc w:val="both"/>
            </w:pPr>
            <w:r>
              <w:rPr>
                <w:rFonts w:ascii="仿宋_GB2312" w:hAnsi="仿宋_GB2312" w:cs="仿宋_GB2312" w:eastAsia="仿宋_GB2312"/>
                <w:sz w:val="20"/>
              </w:rPr>
              <w:t>（2）《不动产登记数据整合建库技术规范》（TD/T 1067-2021）</w:t>
            </w:r>
          </w:p>
          <w:p>
            <w:pPr>
              <w:pStyle w:val="null3"/>
              <w:ind w:firstLine="396"/>
              <w:jc w:val="both"/>
            </w:pPr>
            <w:r>
              <w:rPr>
                <w:rFonts w:ascii="仿宋_GB2312" w:hAnsi="仿宋_GB2312" w:cs="仿宋_GB2312" w:eastAsia="仿宋_GB2312"/>
                <w:sz w:val="20"/>
              </w:rPr>
              <w:t>（3）《不动产登记信息管理基础平台建设总体方案》</w:t>
            </w:r>
          </w:p>
          <w:p>
            <w:pPr>
              <w:pStyle w:val="null3"/>
              <w:ind w:firstLine="396"/>
              <w:jc w:val="both"/>
            </w:pPr>
            <w:r>
              <w:rPr>
                <w:rFonts w:ascii="仿宋_GB2312" w:hAnsi="仿宋_GB2312" w:cs="仿宋_GB2312" w:eastAsia="仿宋_GB2312"/>
                <w:sz w:val="20"/>
              </w:rPr>
              <w:t>（4）《全国一体化在线政务服务平台电子证照不动产权证书》（C0203-2020）</w:t>
            </w:r>
          </w:p>
          <w:p>
            <w:pPr>
              <w:pStyle w:val="null3"/>
              <w:ind w:firstLine="396"/>
              <w:jc w:val="both"/>
            </w:pPr>
            <w:r>
              <w:rPr>
                <w:rFonts w:ascii="仿宋_GB2312" w:hAnsi="仿宋_GB2312" w:cs="仿宋_GB2312" w:eastAsia="仿宋_GB2312"/>
                <w:sz w:val="20"/>
              </w:rPr>
              <w:t>（5）《全国一体化在线政务服务平台电子证照不动产登记证明》（C0204-2020）</w:t>
            </w:r>
          </w:p>
          <w:p>
            <w:pPr>
              <w:pStyle w:val="null3"/>
              <w:ind w:firstLine="396"/>
              <w:jc w:val="both"/>
            </w:pPr>
            <w:r>
              <w:rPr>
                <w:rFonts w:ascii="仿宋_GB2312" w:hAnsi="仿宋_GB2312" w:cs="仿宋_GB2312" w:eastAsia="仿宋_GB2312"/>
                <w:sz w:val="20"/>
              </w:rPr>
              <w:t>（6）《不动产登记规程》（TD/T1095-2024）</w:t>
            </w:r>
          </w:p>
          <w:p>
            <w:pPr>
              <w:pStyle w:val="null3"/>
              <w:ind w:firstLine="396"/>
              <w:jc w:val="both"/>
            </w:pPr>
            <w:r>
              <w:rPr>
                <w:rFonts w:ascii="仿宋_GB2312" w:hAnsi="仿宋_GB2312" w:cs="仿宋_GB2312" w:eastAsia="仿宋_GB2312"/>
                <w:sz w:val="20"/>
              </w:rPr>
              <w:t>（7）《电子政务标准体系》</w:t>
            </w:r>
          </w:p>
          <w:p>
            <w:pPr>
              <w:pStyle w:val="null3"/>
              <w:ind w:firstLine="396"/>
              <w:jc w:val="both"/>
            </w:pPr>
            <w:r>
              <w:rPr>
                <w:rFonts w:ascii="仿宋_GB2312" w:hAnsi="仿宋_GB2312" w:cs="仿宋_GB2312" w:eastAsia="仿宋_GB2312"/>
                <w:sz w:val="20"/>
              </w:rPr>
              <w:t>（8）《信息安全技术 信息系统安全等级保护基本要求》（GB/T 22239-2019）</w:t>
            </w:r>
          </w:p>
          <w:p>
            <w:pPr>
              <w:pStyle w:val="null3"/>
              <w:ind w:firstLine="396"/>
              <w:jc w:val="both"/>
            </w:pPr>
            <w:r>
              <w:rPr>
                <w:rFonts w:ascii="仿宋_GB2312" w:hAnsi="仿宋_GB2312" w:cs="仿宋_GB2312" w:eastAsia="仿宋_GB2312"/>
                <w:sz w:val="20"/>
              </w:rPr>
              <w:t>（9）《信息安全技术 个人信息安全规范》（GB/T 35273-2020）</w:t>
            </w:r>
          </w:p>
          <w:p>
            <w:pPr>
              <w:pStyle w:val="null3"/>
              <w:ind w:firstLine="396"/>
              <w:jc w:val="both"/>
            </w:pPr>
            <w:r>
              <w:rPr>
                <w:rFonts w:ascii="仿宋_GB2312" w:hAnsi="仿宋_GB2312" w:cs="仿宋_GB2312" w:eastAsia="仿宋_GB2312"/>
                <w:sz w:val="20"/>
              </w:rPr>
              <w:t>（10）《云计算服务安全能力要求》（GB/T 31167-2014）</w:t>
            </w:r>
          </w:p>
          <w:p>
            <w:pPr>
              <w:pStyle w:val="null3"/>
              <w:ind w:firstLine="396"/>
              <w:jc w:val="both"/>
            </w:pPr>
            <w:r>
              <w:rPr>
                <w:rFonts w:ascii="仿宋_GB2312" w:hAnsi="仿宋_GB2312" w:cs="仿宋_GB2312" w:eastAsia="仿宋_GB2312"/>
                <w:sz w:val="20"/>
              </w:rPr>
              <w:t>（11）《数字城市地理空间信息公共平台技术规范》（CH/Z 9001-2007）</w:t>
            </w:r>
          </w:p>
          <w:p>
            <w:pPr>
              <w:pStyle w:val="null3"/>
              <w:ind w:firstLine="396"/>
              <w:jc w:val="both"/>
            </w:pPr>
            <w:r>
              <w:rPr>
                <w:rFonts w:ascii="仿宋_GB2312" w:hAnsi="仿宋_GB2312" w:cs="仿宋_GB2312" w:eastAsia="仿宋_GB2312"/>
                <w:sz w:val="20"/>
              </w:rPr>
              <w:t>（12）《房产测量规范》（GB/T17986•1—2000）</w:t>
            </w:r>
          </w:p>
          <w:p>
            <w:pPr>
              <w:pStyle w:val="null3"/>
              <w:ind w:firstLine="396"/>
              <w:jc w:val="both"/>
            </w:pPr>
            <w:r>
              <w:rPr>
                <w:rFonts w:ascii="仿宋_GB2312" w:hAnsi="仿宋_GB2312" w:cs="仿宋_GB2312" w:eastAsia="仿宋_GB2312"/>
                <w:sz w:val="20"/>
              </w:rPr>
              <w:t>（13）《不动产单元设定与代码编制规则》（GB/T 37346-2019）</w:t>
            </w:r>
          </w:p>
          <w:p>
            <w:pPr>
              <w:pStyle w:val="null3"/>
              <w:ind w:firstLine="396"/>
              <w:jc w:val="both"/>
            </w:pPr>
            <w:r>
              <w:rPr>
                <w:rFonts w:ascii="仿宋_GB2312" w:hAnsi="仿宋_GB2312" w:cs="仿宋_GB2312" w:eastAsia="仿宋_GB2312"/>
                <w:sz w:val="20"/>
              </w:rPr>
              <w:t>（14）《国家电子政务网络技术和运行管理规范》（GB/T 21061-2007）</w:t>
            </w:r>
          </w:p>
          <w:p>
            <w:pPr>
              <w:pStyle w:val="null3"/>
              <w:ind w:firstLine="396"/>
              <w:jc w:val="both"/>
            </w:pPr>
            <w:r>
              <w:rPr>
                <w:rFonts w:ascii="仿宋_GB2312" w:hAnsi="仿宋_GB2312" w:cs="仿宋_GB2312" w:eastAsia="仿宋_GB2312"/>
                <w:sz w:val="20"/>
              </w:rPr>
              <w:t>（15）《信息系统安全等级保护测评过程指南》（ GB/T28449-2012）</w:t>
            </w:r>
          </w:p>
          <w:p>
            <w:pPr>
              <w:pStyle w:val="null3"/>
              <w:ind w:firstLine="396"/>
              <w:jc w:val="both"/>
            </w:pPr>
            <w:r>
              <w:rPr>
                <w:rFonts w:ascii="仿宋_GB2312" w:hAnsi="仿宋_GB2312" w:cs="仿宋_GB2312" w:eastAsia="仿宋_GB2312"/>
                <w:sz w:val="20"/>
              </w:rPr>
              <w:t>（16）《信息安全技术网络安全等级保护定级指南》（GB/T 22240-2020）</w:t>
            </w:r>
          </w:p>
          <w:p>
            <w:pPr>
              <w:pStyle w:val="null3"/>
              <w:ind w:firstLine="396"/>
              <w:jc w:val="both"/>
            </w:pPr>
            <w:r>
              <w:rPr>
                <w:rFonts w:ascii="仿宋_GB2312" w:hAnsi="仿宋_GB2312" w:cs="仿宋_GB2312" w:eastAsia="仿宋_GB2312"/>
                <w:sz w:val="20"/>
              </w:rPr>
              <w:t>（17）《网络安全等级保护基本要求》（GB/T 22239-2019）</w:t>
            </w:r>
          </w:p>
          <w:p>
            <w:pPr>
              <w:pStyle w:val="null3"/>
              <w:ind w:firstLine="396"/>
              <w:jc w:val="both"/>
            </w:pPr>
            <w:r>
              <w:rPr>
                <w:rFonts w:ascii="仿宋_GB2312" w:hAnsi="仿宋_GB2312" w:cs="仿宋_GB2312" w:eastAsia="仿宋_GB2312"/>
                <w:sz w:val="20"/>
              </w:rPr>
              <w:t>（18）《网络安全等级保护安全设计技术要求》（GB/T 25070-2019）</w:t>
            </w:r>
          </w:p>
          <w:p>
            <w:pPr>
              <w:pStyle w:val="null3"/>
              <w:ind w:firstLine="396"/>
              <w:jc w:val="both"/>
            </w:pPr>
            <w:r>
              <w:rPr>
                <w:rFonts w:ascii="仿宋_GB2312" w:hAnsi="仿宋_GB2312" w:cs="仿宋_GB2312" w:eastAsia="仿宋_GB2312"/>
                <w:sz w:val="20"/>
              </w:rPr>
              <w:t>（19）《网络安全等级保护测评要求》（GB/T 28448-2019）</w:t>
            </w:r>
          </w:p>
          <w:p>
            <w:pPr>
              <w:pStyle w:val="null3"/>
              <w:ind w:firstLine="396"/>
              <w:jc w:val="both"/>
            </w:pPr>
            <w:r>
              <w:rPr>
                <w:rFonts w:ascii="仿宋_GB2312" w:hAnsi="仿宋_GB2312" w:cs="仿宋_GB2312" w:eastAsia="仿宋_GB2312"/>
                <w:sz w:val="20"/>
              </w:rPr>
              <w:t>(二)性能要求</w:t>
            </w:r>
          </w:p>
          <w:p>
            <w:pPr>
              <w:pStyle w:val="null3"/>
              <w:ind w:firstLine="396"/>
              <w:jc w:val="both"/>
            </w:pPr>
            <w:r>
              <w:rPr>
                <w:rFonts w:ascii="仿宋_GB2312" w:hAnsi="仿宋_GB2312" w:cs="仿宋_GB2312" w:eastAsia="仿宋_GB2312"/>
                <w:sz w:val="20"/>
              </w:rPr>
              <w:t>1.稳定性：保证系统 7*24 小时长期稳定不间断的正常运转;系统必须有足够的健壮性，在发生意外的软、硬件故障等情况下，能够很好的处理并尽快恢复。</w:t>
            </w:r>
          </w:p>
          <w:p>
            <w:pPr>
              <w:pStyle w:val="null3"/>
              <w:ind w:firstLine="396"/>
              <w:jc w:val="both"/>
            </w:pPr>
            <w:r>
              <w:rPr>
                <w:rFonts w:ascii="仿宋_GB2312" w:hAnsi="仿宋_GB2312" w:cs="仿宋_GB2312" w:eastAsia="仿宋_GB2312"/>
                <w:sz w:val="20"/>
              </w:rPr>
              <w:t>2.并行性: 通过接口访问相关数据服务，200 并发用户的响应返回时间不超过 5秒。</w:t>
            </w:r>
          </w:p>
          <w:p>
            <w:pPr>
              <w:pStyle w:val="null3"/>
              <w:ind w:firstLine="396"/>
              <w:jc w:val="both"/>
            </w:pPr>
            <w:r>
              <w:rPr>
                <w:rFonts w:ascii="仿宋_GB2312" w:hAnsi="仿宋_GB2312" w:cs="仿宋_GB2312" w:eastAsia="仿宋_GB2312"/>
                <w:sz w:val="20"/>
              </w:rPr>
              <w:t>3.响应速度：单用户常规操作的平均响应时间≤1秒，复杂查询响应时间≤3秒；系统启动时间≤30秒，关键服务初始化时间≤10秒，确保用户操作流畅性。</w:t>
            </w:r>
          </w:p>
          <w:p>
            <w:pPr>
              <w:pStyle w:val="null3"/>
              <w:ind w:firstLine="396"/>
              <w:jc w:val="both"/>
            </w:pPr>
            <w:r>
              <w:rPr>
                <w:rFonts w:ascii="仿宋_GB2312" w:hAnsi="仿宋_GB2312" w:cs="仿宋_GB2312" w:eastAsia="仿宋_GB2312"/>
                <w:sz w:val="20"/>
              </w:rPr>
              <w:t>4.容错能力：支持关键数据操作的自动事务回滚，事务完整性达100%；针对网络抖动、中间件异常等场景，系统需具备请求重试机制，确保数据不丢失、业务不中断。</w:t>
            </w:r>
          </w:p>
          <w:p>
            <w:pPr>
              <w:pStyle w:val="null3"/>
              <w:ind w:firstLine="396"/>
              <w:jc w:val="both"/>
            </w:pPr>
            <w:r>
              <w:rPr>
                <w:rFonts w:ascii="仿宋_GB2312" w:hAnsi="仿宋_GB2312" w:cs="仿宋_GB2312" w:eastAsia="仿宋_GB2312"/>
                <w:sz w:val="20"/>
              </w:rPr>
              <w:t>5.易维护性：系统需内置可视化监控面板，实时展示关键指标；日志记录需包含操作行为、系统状态及性能数据，支持按时间、关键词快速检索，便于快速定位问题根源。</w:t>
            </w:r>
          </w:p>
          <w:p>
            <w:pPr>
              <w:pStyle w:val="null3"/>
              <w:ind w:firstLine="396"/>
              <w:jc w:val="both"/>
            </w:pPr>
            <w:r>
              <w:rPr>
                <w:rFonts w:ascii="仿宋_GB2312" w:hAnsi="仿宋_GB2312" w:cs="仿宋_GB2312" w:eastAsia="仿宋_GB2312"/>
                <w:sz w:val="20"/>
              </w:rPr>
              <w:t>6.扩展性：系统架构需支持灵活扩展，通过模块化设计实现功能组件的独立部署与升级；当用户规模或业务量增长时，可通过横向扩展服务器节点或纵向升级硬件配置，确保性能线性提升且不影响现有业务运行，扩展过程无需重构核心代码。</w:t>
            </w:r>
          </w:p>
          <w:p>
            <w:pPr>
              <w:pStyle w:val="null3"/>
              <w:ind w:firstLine="396"/>
              <w:jc w:val="both"/>
            </w:pPr>
            <w:r>
              <w:rPr>
                <w:rFonts w:ascii="仿宋_GB2312" w:hAnsi="仿宋_GB2312" w:cs="仿宋_GB2312" w:eastAsia="仿宋_GB2312"/>
                <w:sz w:val="20"/>
              </w:rPr>
              <w:t>7.兼容性：支持主流操作系统、浏览器及终端设备，与现有业务系统的数据接口兼容，确保跨平台、跨系统数据交互无障碍。</w:t>
            </w:r>
          </w:p>
          <w:p>
            <w:pPr>
              <w:pStyle w:val="null3"/>
              <w:ind w:firstLine="396"/>
              <w:jc w:val="both"/>
            </w:pPr>
            <w:r>
              <w:rPr>
                <w:rFonts w:ascii="仿宋_GB2312" w:hAnsi="仿宋_GB2312" w:cs="仿宋_GB2312" w:eastAsia="仿宋_GB2312"/>
                <w:sz w:val="20"/>
              </w:rPr>
              <w:t>8.可靠性：关键业务功能需支持7×24小时不间断服务，年故障率≤0.1%；系统需具备自动故障转移能力，当单点故障发生时，备用节点可在1分钟内接管服务，业务中断时间≤30秒。</w:t>
            </w:r>
          </w:p>
          <w:p>
            <w:pPr>
              <w:pStyle w:val="null3"/>
              <w:ind w:firstLine="396"/>
              <w:jc w:val="both"/>
            </w:pPr>
            <w:r>
              <w:rPr>
                <w:rFonts w:ascii="仿宋_GB2312" w:hAnsi="仿宋_GB2312" w:cs="仿宋_GB2312" w:eastAsia="仿宋_GB2312"/>
                <w:sz w:val="20"/>
              </w:rPr>
              <w:t>9.实时性：对时效性要求高的业务场景，系统需保证数据更新延迟≤1秒，确保用户获取最新信息；对于批量数据处理任务，需提供进度实时查询功能，用户可随时查看处理状态。</w:t>
            </w:r>
          </w:p>
          <w:p>
            <w:pPr>
              <w:pStyle w:val="null3"/>
              <w:ind w:firstLine="396"/>
              <w:jc w:val="both"/>
            </w:pPr>
            <w:r>
              <w:rPr>
                <w:rFonts w:ascii="仿宋_GB2312" w:hAnsi="仿宋_GB2312" w:cs="仿宋_GB2312" w:eastAsia="仿宋_GB2312"/>
                <w:sz w:val="20"/>
              </w:rPr>
              <w:t>(三)安全性要求</w:t>
            </w:r>
          </w:p>
          <w:p>
            <w:pPr>
              <w:pStyle w:val="null3"/>
              <w:ind w:firstLine="396"/>
              <w:jc w:val="both"/>
            </w:pPr>
            <w:r>
              <w:rPr>
                <w:rFonts w:ascii="仿宋_GB2312" w:hAnsi="仿宋_GB2312" w:cs="仿宋_GB2312" w:eastAsia="仿宋_GB2312"/>
                <w:sz w:val="20"/>
              </w:rPr>
              <w:t>1.合规基础：在信息系统等级保护定级基础上，从管理体系、技术体系上进行系统安全设计规划与建设，形成多个层面的安全保障体系，可满足国家、省、市对网络安全相关要求。</w:t>
            </w:r>
          </w:p>
          <w:p>
            <w:pPr>
              <w:pStyle w:val="null3"/>
              <w:ind w:firstLine="396"/>
              <w:jc w:val="both"/>
            </w:pPr>
            <w:r>
              <w:rPr>
                <w:rFonts w:ascii="仿宋_GB2312" w:hAnsi="仿宋_GB2312" w:cs="仿宋_GB2312" w:eastAsia="仿宋_GB2312"/>
                <w:sz w:val="20"/>
              </w:rPr>
              <w:t>2.数据安全：敏感数据需采用国密算法进行传输与存储，数据库字段级权限控制，定期备份并异地容灾，防止数据泄露与丢失。</w:t>
            </w:r>
          </w:p>
          <w:p>
            <w:pPr>
              <w:pStyle w:val="null3"/>
              <w:ind w:firstLine="396"/>
              <w:jc w:val="both"/>
            </w:pPr>
            <w:r>
              <w:rPr>
                <w:rFonts w:ascii="仿宋_GB2312" w:hAnsi="仿宋_GB2312" w:cs="仿宋_GB2312" w:eastAsia="仿宋_GB2312"/>
                <w:sz w:val="20"/>
              </w:rPr>
              <w:t>3.安全审计：系统需记录所有关键操作的详细日志，日志数据不可篡改，并保留至少180天；支持按用户、时间范围、操作类型筛选查询，同时向安全管理部门提供审计报告。</w:t>
            </w:r>
          </w:p>
          <w:p>
            <w:pPr>
              <w:pStyle w:val="null3"/>
              <w:ind w:firstLine="396"/>
              <w:jc w:val="both"/>
            </w:pPr>
            <w:r>
              <w:rPr>
                <w:rFonts w:ascii="仿宋_GB2312" w:hAnsi="仿宋_GB2312" w:cs="仿宋_GB2312" w:eastAsia="仿宋_GB2312"/>
                <w:sz w:val="20"/>
              </w:rPr>
              <w:t>4.抗攻击能力：针对常见网络攻击，系统需部署WAF进行实时拦截，配置黑白名单规则；对用户输入数据进行严格校验，后端接口采用参数化查询防止SQL注入，前端展示内容进行HTML实体编码防御XSS。</w:t>
            </w:r>
          </w:p>
          <w:p>
            <w:pPr>
              <w:pStyle w:val="null3"/>
              <w:ind w:firstLine="396"/>
              <w:jc w:val="both"/>
            </w:pPr>
            <w:r>
              <w:rPr>
                <w:rFonts w:ascii="仿宋_GB2312" w:hAnsi="仿宋_GB2312" w:cs="仿宋_GB2312" w:eastAsia="仿宋_GB2312"/>
                <w:sz w:val="20"/>
              </w:rPr>
              <w:t>5.应急响应：制定网络安全应急预案，每半年开展一次应急演练；当发生安全事件时，需在30分钟内启动应急响应，通过流量清洗、数据隔离、漏洞修复等措施控制影响范围，并在24小时内向监管部门提交事件报告。</w:t>
            </w:r>
          </w:p>
          <w:p>
            <w:pPr>
              <w:pStyle w:val="null3"/>
              <w:ind w:firstLine="396"/>
              <w:jc w:val="both"/>
            </w:pPr>
            <w:r>
              <w:rPr>
                <w:rFonts w:ascii="仿宋_GB2312" w:hAnsi="仿宋_GB2312" w:cs="仿宋_GB2312" w:eastAsia="仿宋_GB2312"/>
                <w:sz w:val="20"/>
              </w:rPr>
              <w:t>(四)实用性要求</w:t>
            </w:r>
          </w:p>
          <w:p>
            <w:pPr>
              <w:pStyle w:val="null3"/>
              <w:ind w:firstLine="396"/>
              <w:jc w:val="both"/>
            </w:pPr>
            <w:r>
              <w:rPr>
                <w:rFonts w:ascii="仿宋_GB2312" w:hAnsi="仿宋_GB2312" w:cs="仿宋_GB2312" w:eastAsia="仿宋_GB2312"/>
                <w:sz w:val="20"/>
              </w:rPr>
              <w:t>1.需求贴合性：系统坚持以需求为导向，充分了解用户需求，系统设计人性化、专业化，符合业务人员日常习惯，界面友好，易于操作、使用。</w:t>
            </w:r>
          </w:p>
          <w:p>
            <w:pPr>
              <w:pStyle w:val="null3"/>
              <w:ind w:firstLine="396"/>
              <w:jc w:val="both"/>
            </w:pPr>
            <w:r>
              <w:rPr>
                <w:rFonts w:ascii="仿宋_GB2312" w:hAnsi="仿宋_GB2312" w:cs="仿宋_GB2312" w:eastAsia="仿宋_GB2312"/>
                <w:sz w:val="20"/>
              </w:rPr>
              <w:t>2.界面友好性：界面设计遵循“人性化+专业化”原则——采用扁平化布局、一致性交互逻辑，关键操作需二次确认并提示风险；功能入口清晰分层，支持自定义常用功能快捷方式。</w:t>
            </w:r>
          </w:p>
          <w:p>
            <w:pPr>
              <w:pStyle w:val="null3"/>
              <w:ind w:firstLine="396"/>
              <w:jc w:val="both"/>
            </w:pPr>
            <w:r>
              <w:rPr>
                <w:rFonts w:ascii="仿宋_GB2312" w:hAnsi="仿宋_GB2312" w:cs="仿宋_GB2312" w:eastAsia="仿宋_GB2312"/>
                <w:sz w:val="20"/>
              </w:rPr>
              <w:t>3.操作便捷性：支持业务人员日常习惯，交互过程响应迅速，错误提示通俗易懂。</w:t>
            </w:r>
          </w:p>
          <w:p>
            <w:pPr>
              <w:pStyle w:val="null3"/>
              <w:ind w:firstLine="396"/>
              <w:jc w:val="both"/>
            </w:pPr>
            <w:r>
              <w:rPr>
                <w:rFonts w:ascii="仿宋_GB2312" w:hAnsi="仿宋_GB2312" w:cs="仿宋_GB2312" w:eastAsia="仿宋_GB2312"/>
                <w:sz w:val="20"/>
              </w:rPr>
              <w:t>4.易用性优化：针对用户提供在线帮助文档与视频教程，降低学习成本；系统界面支持多终端适配，关键功能在移动端可完整操作，确保不同使用场景下的便利性。</w:t>
            </w:r>
          </w:p>
          <w:p>
            <w:pPr>
              <w:pStyle w:val="null3"/>
              <w:ind w:firstLine="396"/>
              <w:jc w:val="both"/>
            </w:pPr>
            <w:r>
              <w:rPr>
                <w:rFonts w:ascii="仿宋_GB2312" w:hAnsi="仿宋_GB2312" w:cs="仿宋_GB2312" w:eastAsia="仿宋_GB2312"/>
                <w:sz w:val="20"/>
              </w:rPr>
              <w:t>5.移动适配：支持PC端与移动端多终端访问，移动端界面采用响应式设计，关键功能可在移动端完整操作；针对移动网络环境，优化数据传输协议，确保弱网环境下操作流畅。</w:t>
            </w:r>
          </w:p>
          <w:p>
            <w:pPr>
              <w:pStyle w:val="null3"/>
              <w:ind w:firstLine="396"/>
              <w:jc w:val="both"/>
            </w:pPr>
            <w:r>
              <w:rPr>
                <w:rFonts w:ascii="仿宋_GB2312" w:hAnsi="仿宋_GB2312" w:cs="仿宋_GB2312" w:eastAsia="仿宋_GB2312"/>
                <w:sz w:val="20"/>
              </w:rPr>
              <w:t>6.协同能力：支持多用户协同操作，通过版本控制机制避免数据覆盖，相关操作记录自动关联至业务数据，便于追溯责任。</w:t>
            </w:r>
          </w:p>
          <w:p>
            <w:pPr>
              <w:pStyle w:val="null3"/>
              <w:jc w:val="both"/>
            </w:pPr>
            <w:r>
              <w:rPr>
                <w:rFonts w:ascii="仿宋_GB2312" w:hAnsi="仿宋_GB2312" w:cs="仿宋_GB2312" w:eastAsia="仿宋_GB2312"/>
                <w:sz w:val="20"/>
              </w:rPr>
              <w:t>7.持续优化：建立用户反馈渠道，定期收集用户使用体验；每季度发布系统优化版本，并根据业务变化快速迭代，确保系统始终贴合实际需求，提升长期使用价值。</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01"/>
              <w:jc w:val="both"/>
            </w:pPr>
            <w:r>
              <w:rPr>
                <w:rFonts w:ascii="仿宋_GB2312" w:hAnsi="仿宋_GB2312" w:cs="仿宋_GB2312" w:eastAsia="仿宋_GB2312"/>
                <w:sz w:val="20"/>
                <w:b/>
                <w:color w:val="000000"/>
              </w:rPr>
              <w:t>服务</w:t>
            </w:r>
            <w:r>
              <w:rPr>
                <w:rFonts w:ascii="仿宋_GB2312" w:hAnsi="仿宋_GB2312" w:cs="仿宋_GB2312" w:eastAsia="仿宋_GB2312"/>
                <w:sz w:val="20"/>
                <w:b/>
                <w:color w:val="000000"/>
              </w:rPr>
              <w:t>要求</w:t>
            </w:r>
          </w:p>
          <w:p>
            <w:pPr>
              <w:pStyle w:val="null3"/>
              <w:ind w:firstLine="396"/>
              <w:jc w:val="both"/>
            </w:pPr>
            <w:r>
              <w:rPr>
                <w:rFonts w:ascii="仿宋_GB2312" w:hAnsi="仿宋_GB2312" w:cs="仿宋_GB2312" w:eastAsia="仿宋_GB2312"/>
                <w:sz w:val="20"/>
              </w:rPr>
              <w:t>1.依据《政府采购法》和政府购买服务的相关要求，服务商应具有独立的法人资格</w:t>
            </w:r>
            <w:r>
              <w:rPr>
                <w:rFonts w:ascii="仿宋_GB2312" w:hAnsi="仿宋_GB2312" w:cs="仿宋_GB2312" w:eastAsia="仿宋_GB2312"/>
                <w:sz w:val="20"/>
              </w:rPr>
              <w:t>；</w:t>
            </w:r>
            <w:r>
              <w:rPr>
                <w:rFonts w:ascii="仿宋_GB2312" w:hAnsi="仿宋_GB2312" w:cs="仿宋_GB2312" w:eastAsia="仿宋_GB2312"/>
                <w:sz w:val="20"/>
              </w:rPr>
              <w:t>具有不动产登记和权调系统开发相关的工作业绩</w:t>
            </w:r>
            <w:r>
              <w:rPr>
                <w:rFonts w:ascii="仿宋_GB2312" w:hAnsi="仿宋_GB2312" w:cs="仿宋_GB2312" w:eastAsia="仿宋_GB2312"/>
                <w:sz w:val="20"/>
              </w:rPr>
              <w:t>；</w:t>
            </w:r>
            <w:r>
              <w:rPr>
                <w:rFonts w:ascii="仿宋_GB2312" w:hAnsi="仿宋_GB2312" w:cs="仿宋_GB2312" w:eastAsia="仿宋_GB2312"/>
                <w:sz w:val="20"/>
              </w:rPr>
              <w:t>具有健全的技术和质量管理制度。</w:t>
            </w:r>
          </w:p>
          <w:p>
            <w:pPr>
              <w:pStyle w:val="null3"/>
              <w:ind w:firstLine="396"/>
              <w:jc w:val="both"/>
            </w:pPr>
            <w:r>
              <w:rPr>
                <w:rFonts w:ascii="仿宋_GB2312" w:hAnsi="仿宋_GB2312" w:cs="仿宋_GB2312" w:eastAsia="仿宋_GB2312"/>
                <w:sz w:val="20"/>
              </w:rPr>
              <w:t>2.服务商在项目实施过程中,必须严格遵守采购人的相关管理制度,并按照要求签订保密协议,不得有泄密、人为损坏采购人设备及工作成果、不遵守工作纪律等不法行为,由此造成的一切后果及法律责任由中标投标人承担。本项目工作数据属于保密数据，服务商工作过程中必须严格按照国家保密工作规程操作，以保障对整个工作成果及接触到的相关工作资料进行保密，并提供相关保密制度。</w:t>
            </w:r>
          </w:p>
          <w:p>
            <w:pPr>
              <w:pStyle w:val="null3"/>
              <w:ind w:firstLine="396"/>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项目拟投入人员至少</w:t>
            </w:r>
            <w:r>
              <w:rPr>
                <w:rFonts w:ascii="仿宋_GB2312" w:hAnsi="仿宋_GB2312" w:cs="仿宋_GB2312" w:eastAsia="仿宋_GB2312"/>
                <w:sz w:val="20"/>
              </w:rPr>
              <w:t>6</w:t>
            </w:r>
            <w:r>
              <w:rPr>
                <w:rFonts w:ascii="仿宋_GB2312" w:hAnsi="仿宋_GB2312" w:cs="仿宋_GB2312" w:eastAsia="仿宋_GB2312"/>
                <w:sz w:val="20"/>
              </w:rPr>
              <w:t>人，提供项目</w:t>
            </w:r>
            <w:r>
              <w:rPr>
                <w:rFonts w:ascii="仿宋_GB2312" w:hAnsi="仿宋_GB2312" w:cs="仿宋_GB2312" w:eastAsia="仿宋_GB2312"/>
                <w:sz w:val="20"/>
              </w:rPr>
              <w:t>人员资历情况，以毕业证书</w:t>
            </w:r>
            <w:r>
              <w:rPr>
                <w:rFonts w:ascii="仿宋_GB2312" w:hAnsi="仿宋_GB2312" w:cs="仿宋_GB2312" w:eastAsia="仿宋_GB2312"/>
                <w:sz w:val="20"/>
              </w:rPr>
              <w:t>或</w:t>
            </w:r>
            <w:r>
              <w:rPr>
                <w:rFonts w:ascii="仿宋_GB2312" w:hAnsi="仿宋_GB2312" w:cs="仿宋_GB2312" w:eastAsia="仿宋_GB2312"/>
                <w:sz w:val="20"/>
              </w:rPr>
              <w:t>专业职称证书等为依据，在工作中有相应资料体现或记录。</w:t>
            </w:r>
          </w:p>
          <w:p>
            <w:pPr>
              <w:pStyle w:val="null3"/>
              <w:ind w:firstLine="396"/>
              <w:jc w:val="both"/>
            </w:pPr>
            <w:r>
              <w:rPr>
                <w:rFonts w:ascii="仿宋_GB2312" w:hAnsi="仿宋_GB2312" w:cs="仿宋_GB2312" w:eastAsia="仿宋_GB2312"/>
                <w:sz w:val="20"/>
              </w:rPr>
              <w:t>4</w:t>
            </w:r>
            <w:r>
              <w:rPr>
                <w:rFonts w:ascii="仿宋_GB2312" w:hAnsi="仿宋_GB2312" w:cs="仿宋_GB2312" w:eastAsia="仿宋_GB2312"/>
                <w:sz w:val="20"/>
              </w:rPr>
              <w:t>.服务商在合同执行期间，需义务为采购方人员提供相关培训，确保其正确使用工作成果。具体要求如下：</w:t>
            </w:r>
          </w:p>
          <w:p>
            <w:pPr>
              <w:pStyle w:val="null3"/>
              <w:ind w:firstLine="396"/>
              <w:jc w:val="both"/>
            </w:pPr>
            <w:r>
              <w:rPr>
                <w:rFonts w:ascii="仿宋_GB2312" w:hAnsi="仿宋_GB2312" w:cs="仿宋_GB2312" w:eastAsia="仿宋_GB2312"/>
                <w:sz w:val="20"/>
              </w:rPr>
              <w:t>（1）培训对象应分为各级普通用户和系统管理员，培训内容包括应用业务操作、系统配置、系统安装等。</w:t>
            </w:r>
          </w:p>
          <w:p>
            <w:pPr>
              <w:pStyle w:val="null3"/>
              <w:ind w:firstLine="396"/>
              <w:jc w:val="both"/>
            </w:pPr>
            <w:r>
              <w:rPr>
                <w:rFonts w:ascii="仿宋_GB2312" w:hAnsi="仿宋_GB2312" w:cs="仿宋_GB2312" w:eastAsia="仿宋_GB2312"/>
                <w:sz w:val="20"/>
              </w:rPr>
              <w:t>（2）中标供应商提供相关系统构成、基本原理、安装、运行和维护的免费课堂培训和操作培训。</w:t>
            </w:r>
          </w:p>
          <w:p>
            <w:pPr>
              <w:pStyle w:val="null3"/>
              <w:ind w:firstLine="396"/>
              <w:jc w:val="both"/>
            </w:pPr>
            <w:r>
              <w:rPr>
                <w:rFonts w:ascii="仿宋_GB2312" w:hAnsi="仿宋_GB2312" w:cs="仿宋_GB2312" w:eastAsia="仿宋_GB2312"/>
                <w:sz w:val="20"/>
              </w:rPr>
              <w:t>（3）所有的培训均应使用中文普通话进行。</w:t>
            </w:r>
          </w:p>
          <w:p>
            <w:pPr>
              <w:pStyle w:val="null3"/>
              <w:ind w:firstLine="396"/>
              <w:jc w:val="both"/>
            </w:pPr>
            <w:r>
              <w:rPr>
                <w:rFonts w:ascii="仿宋_GB2312" w:hAnsi="仿宋_GB2312" w:cs="仿宋_GB2312" w:eastAsia="仿宋_GB2312"/>
                <w:sz w:val="20"/>
              </w:rPr>
              <w:t>（4）培训方式应包括集中统一培训、分点培训、个人培训等方式。</w:t>
            </w:r>
          </w:p>
          <w:p>
            <w:pPr>
              <w:pStyle w:val="null3"/>
              <w:ind w:firstLine="396"/>
              <w:jc w:val="both"/>
            </w:pPr>
            <w:r>
              <w:rPr>
                <w:rFonts w:ascii="仿宋_GB2312" w:hAnsi="仿宋_GB2312" w:cs="仿宋_GB2312" w:eastAsia="仿宋_GB2312"/>
                <w:sz w:val="20"/>
              </w:rPr>
              <w:t>5.服务商在完成项目交付并完成验收后，需提供1年的免费维保服务，具体维护要求如下：</w:t>
            </w:r>
          </w:p>
          <w:p>
            <w:pPr>
              <w:pStyle w:val="null3"/>
              <w:ind w:firstLine="396"/>
              <w:jc w:val="both"/>
            </w:pPr>
            <w:r>
              <w:rPr>
                <w:rFonts w:ascii="仿宋_GB2312" w:hAnsi="仿宋_GB2312" w:cs="仿宋_GB2312" w:eastAsia="仿宋_GB2312"/>
                <w:sz w:val="20"/>
              </w:rPr>
              <w:t>（1）日常技术维护:对提供升级改造的系统模块进行例行或专项巡检、维护工作，确保系统模块稳定运行;</w:t>
            </w:r>
          </w:p>
          <w:p>
            <w:pPr>
              <w:pStyle w:val="null3"/>
              <w:ind w:firstLine="396"/>
              <w:jc w:val="both"/>
            </w:pPr>
            <w:r>
              <w:rPr>
                <w:rFonts w:ascii="仿宋_GB2312" w:hAnsi="仿宋_GB2312" w:cs="仿宋_GB2312" w:eastAsia="仿宋_GB2312"/>
                <w:sz w:val="20"/>
              </w:rPr>
              <w:t>（2）适应性维护:包括在应用过程中发现的功能模块故障、缺陷进行修复，以及采购人提出的合理适应性专项维护。</w:t>
            </w:r>
          </w:p>
          <w:p>
            <w:pPr>
              <w:pStyle w:val="null3"/>
              <w:ind w:firstLine="396"/>
              <w:jc w:val="both"/>
            </w:pPr>
            <w:r>
              <w:rPr>
                <w:rFonts w:ascii="仿宋_GB2312" w:hAnsi="仿宋_GB2312" w:cs="仿宋_GB2312" w:eastAsia="仿宋_GB2312"/>
                <w:sz w:val="20"/>
              </w:rPr>
              <w:t>（3）系统软件故障响应时间: 工作日期间 9:00-18:00 的响应时间为 30 分钟内，若电话无法解决，维护工程师应在接到保障后 2 小时内到现场处理应用系统出现的故障，其余时间的响应时间为 2小时内。</w:t>
            </w:r>
          </w:p>
          <w:p>
            <w:pPr>
              <w:pStyle w:val="null3"/>
              <w:ind w:firstLine="396"/>
              <w:jc w:val="both"/>
            </w:pPr>
            <w:r>
              <w:rPr>
                <w:rFonts w:ascii="仿宋_GB2312" w:hAnsi="仿宋_GB2312" w:cs="仿宋_GB2312" w:eastAsia="仿宋_GB2312"/>
                <w:sz w:val="20"/>
              </w:rPr>
              <w:t>（4）维护方式：</w:t>
            </w:r>
          </w:p>
          <w:p>
            <w:pPr>
              <w:pStyle w:val="null3"/>
              <w:jc w:val="both"/>
            </w:pPr>
            <w:r>
              <w:rPr>
                <w:rFonts w:ascii="仿宋_GB2312" w:hAnsi="仿宋_GB2312" w:cs="仿宋_GB2312" w:eastAsia="仿宋_GB2312"/>
                <w:sz w:val="20"/>
              </w:rPr>
              <w:t>每日通过监控工具检查系统运行状态、日志文件，及时发现并处理潜在问题；建立故障响应机制，常规故障30分钟内响应并修复，重大故障1小时内启动应急流程并上报，确保故障快速定位与解决；根据发布的补丁或业务需求，制定升级计划，在非工作时间进行升级，升级前完成数据备份与兼容性测试，升级后评估系统稳定性。</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01"/>
              <w:jc w:val="left"/>
            </w:pPr>
            <w:r>
              <w:rPr>
                <w:rFonts w:ascii="仿宋_GB2312" w:hAnsi="仿宋_GB2312" w:cs="仿宋_GB2312" w:eastAsia="仿宋_GB2312"/>
                <w:sz w:val="20"/>
                <w:b/>
                <w:color w:val="000000"/>
              </w:rPr>
              <w:t>商务要求（如服务期限、款项结算等）</w:t>
            </w:r>
          </w:p>
          <w:p>
            <w:pPr>
              <w:pStyle w:val="null3"/>
              <w:ind w:firstLine="401"/>
              <w:jc w:val="left"/>
            </w:pPr>
            <w:r>
              <w:rPr>
                <w:rFonts w:ascii="仿宋_GB2312" w:hAnsi="仿宋_GB2312" w:cs="仿宋_GB2312" w:eastAsia="仿宋_GB2312"/>
                <w:sz w:val="20"/>
                <w:b/>
              </w:rPr>
              <w:t>（一）服务期限</w:t>
            </w:r>
          </w:p>
          <w:p>
            <w:pPr>
              <w:pStyle w:val="null3"/>
              <w:ind w:firstLine="396"/>
              <w:jc w:val="both"/>
            </w:pPr>
            <w:r>
              <w:rPr>
                <w:rFonts w:ascii="仿宋_GB2312" w:hAnsi="仿宋_GB2312" w:cs="仿宋_GB2312" w:eastAsia="仿宋_GB2312"/>
                <w:sz w:val="20"/>
              </w:rPr>
              <w:t>合同签订之日起</w:t>
            </w:r>
            <w:r>
              <w:rPr>
                <w:rFonts w:ascii="仿宋_GB2312" w:hAnsi="仿宋_GB2312" w:cs="仿宋_GB2312" w:eastAsia="仿宋_GB2312"/>
                <w:sz w:val="20"/>
              </w:rPr>
              <w:t>8个月内完成</w:t>
            </w:r>
            <w:r>
              <w:rPr>
                <w:rFonts w:ascii="仿宋_GB2312" w:hAnsi="仿宋_GB2312" w:cs="仿宋_GB2312" w:eastAsia="仿宋_GB2312"/>
                <w:sz w:val="20"/>
              </w:rPr>
              <w:t>。</w:t>
            </w:r>
          </w:p>
          <w:p>
            <w:pPr>
              <w:pStyle w:val="null3"/>
              <w:ind w:firstLine="397"/>
              <w:jc w:val="both"/>
            </w:pPr>
            <w:r>
              <w:rPr>
                <w:rFonts w:ascii="仿宋_GB2312" w:hAnsi="仿宋_GB2312" w:cs="仿宋_GB2312" w:eastAsia="仿宋_GB2312"/>
                <w:sz w:val="20"/>
                <w:b/>
              </w:rPr>
              <w:t>（二）款项结算</w:t>
            </w:r>
          </w:p>
          <w:p>
            <w:pPr>
              <w:pStyle w:val="null3"/>
              <w:jc w:val="both"/>
            </w:pPr>
            <w:r>
              <w:rPr>
                <w:rFonts w:ascii="仿宋_GB2312" w:hAnsi="仿宋_GB2312" w:cs="仿宋_GB2312" w:eastAsia="仿宋_GB2312"/>
                <w:sz w:val="20"/>
              </w:rPr>
              <w:t>付款方式为分期付款，合同签订后一个月内，甲方支付乙方合同总价款的60%；系统开发结束，并交甲方验收合格之日起，甲方一个月内支付乙方合同总价款的40.00%。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01"/>
              <w:jc w:val="left"/>
            </w:pPr>
            <w:r>
              <w:rPr>
                <w:rFonts w:ascii="仿宋_GB2312" w:hAnsi="仿宋_GB2312" w:cs="仿宋_GB2312" w:eastAsia="仿宋_GB2312"/>
                <w:sz w:val="20"/>
                <w:b/>
                <w:color w:val="000000"/>
              </w:rPr>
              <w:t>其他（如有要求，请写明）</w:t>
            </w:r>
          </w:p>
          <w:p>
            <w:pPr>
              <w:pStyle w:val="null3"/>
              <w:ind w:firstLine="397"/>
              <w:jc w:val="both"/>
            </w:pPr>
            <w:r>
              <w:rPr>
                <w:rFonts w:ascii="仿宋_GB2312" w:hAnsi="仿宋_GB2312" w:cs="仿宋_GB2312" w:eastAsia="仿宋_GB2312"/>
                <w:sz w:val="20"/>
                <w:b/>
              </w:rPr>
              <w:t>（一）交付成果</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1.源代码</w:t>
            </w:r>
          </w:p>
          <w:p>
            <w:pPr>
              <w:pStyle w:val="null3"/>
              <w:ind w:firstLine="396"/>
              <w:jc w:val="both"/>
            </w:pPr>
            <w:r>
              <w:rPr>
                <w:rFonts w:ascii="仿宋_GB2312" w:hAnsi="仿宋_GB2312" w:cs="仿宋_GB2312" w:eastAsia="仿宋_GB2312"/>
                <w:sz w:val="20"/>
              </w:rPr>
              <w:t>2025年西安市不动产登记及权调应急开发</w:t>
            </w:r>
            <w:r>
              <w:rPr>
                <w:rFonts w:ascii="仿宋_GB2312" w:hAnsi="仿宋_GB2312" w:cs="仿宋_GB2312" w:eastAsia="仿宋_GB2312"/>
                <w:sz w:val="20"/>
              </w:rPr>
              <w:t>相关功能模块的源代码。</w:t>
            </w:r>
          </w:p>
          <w:p>
            <w:pPr>
              <w:pStyle w:val="null3"/>
              <w:ind w:firstLine="396"/>
              <w:jc w:val="both"/>
            </w:pPr>
            <w:r>
              <w:rPr>
                <w:rFonts w:ascii="仿宋_GB2312" w:hAnsi="仿宋_GB2312" w:cs="仿宋_GB2312" w:eastAsia="仿宋_GB2312"/>
                <w:sz w:val="20"/>
              </w:rPr>
              <w:t>2.文档成果</w:t>
            </w:r>
          </w:p>
          <w:p>
            <w:pPr>
              <w:pStyle w:val="null3"/>
              <w:ind w:firstLine="396"/>
              <w:jc w:val="both"/>
            </w:pPr>
            <w:r>
              <w:rPr>
                <w:rFonts w:ascii="仿宋_GB2312" w:hAnsi="仿宋_GB2312" w:cs="仿宋_GB2312" w:eastAsia="仿宋_GB2312"/>
                <w:sz w:val="20"/>
              </w:rPr>
              <w:t>（1）需求文档，包含需求调研计划、需求分析、项目需求规格说明书、需求规格说明书报审表、需求评审等需求相关文档；</w:t>
            </w:r>
          </w:p>
          <w:p>
            <w:pPr>
              <w:pStyle w:val="null3"/>
              <w:ind w:firstLine="396"/>
              <w:jc w:val="both"/>
            </w:pPr>
            <w:r>
              <w:rPr>
                <w:rFonts w:ascii="仿宋_GB2312" w:hAnsi="仿宋_GB2312" w:cs="仿宋_GB2312" w:eastAsia="仿宋_GB2312"/>
                <w:sz w:val="20"/>
              </w:rPr>
              <w:t>（2）设计文档，包含概要设计说明书、详细设计说明书、数据库设计说明书、接口文档、模块开发卷宗、网络设计等设计文档及相应评审文档；</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）测试文档，包含测试计划、测试记录（用例执行情况）、功能测试报告、性能测试报告、安全测试报告等</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（4）安装部署手册，包含服务器、数据库、 中间件、 网络等支撑环境部署手册；</w:t>
            </w:r>
          </w:p>
          <w:p>
            <w:pPr>
              <w:pStyle w:val="null3"/>
              <w:ind w:firstLine="396"/>
              <w:jc w:val="both"/>
            </w:pPr>
            <w:r>
              <w:rPr>
                <w:rFonts w:ascii="仿宋_GB2312" w:hAnsi="仿宋_GB2312" w:cs="仿宋_GB2312" w:eastAsia="仿宋_GB2312"/>
                <w:sz w:val="20"/>
              </w:rPr>
              <w:t>（5）运行维护方案，包括运维角色划分、维护范围内容措施等；运行维护记录包含项目运行、维护、问题发现及处理记录等；</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）用户使用手册</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）移交清单</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）初步验收意见</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（9）初步验收问题整改报告；</w:t>
            </w:r>
          </w:p>
          <w:p>
            <w:pPr>
              <w:pStyle w:val="null3"/>
              <w:ind w:firstLine="396"/>
              <w:jc w:val="both"/>
            </w:pPr>
            <w:r>
              <w:rPr>
                <w:rFonts w:ascii="仿宋_GB2312" w:hAnsi="仿宋_GB2312" w:cs="仿宋_GB2312" w:eastAsia="仿宋_GB2312"/>
                <w:sz w:val="20"/>
              </w:rPr>
              <w:t>（10）试运行方案及报告；</w:t>
            </w:r>
          </w:p>
          <w:p>
            <w:pPr>
              <w:pStyle w:val="null3"/>
              <w:ind w:firstLine="396"/>
              <w:jc w:val="both"/>
            </w:pPr>
            <w:r>
              <w:rPr>
                <w:rFonts w:ascii="仿宋_GB2312" w:hAnsi="仿宋_GB2312" w:cs="仿宋_GB2312" w:eastAsia="仿宋_GB2312"/>
                <w:sz w:val="20"/>
              </w:rPr>
              <w:t>（11）培训文档；</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）用户使用报告</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）试运行总结报告</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（14）试运行验收意见；</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）试运行验收问题整改报告</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16</w:t>
            </w:r>
            <w:r>
              <w:rPr>
                <w:rFonts w:ascii="仿宋_GB2312" w:hAnsi="仿宋_GB2312" w:cs="仿宋_GB2312" w:eastAsia="仿宋_GB2312"/>
                <w:sz w:val="20"/>
              </w:rPr>
              <w:t>）竣工验收意见</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17</w:t>
            </w:r>
            <w:r>
              <w:rPr>
                <w:rFonts w:ascii="仿宋_GB2312" w:hAnsi="仿宋_GB2312" w:cs="仿宋_GB2312" w:eastAsia="仿宋_GB2312"/>
                <w:sz w:val="20"/>
              </w:rPr>
              <w:t>）项目总结报告</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18</w:t>
            </w:r>
            <w:r>
              <w:rPr>
                <w:rFonts w:ascii="仿宋_GB2312" w:hAnsi="仿宋_GB2312" w:cs="仿宋_GB2312" w:eastAsia="仿宋_GB2312"/>
                <w:sz w:val="20"/>
              </w:rPr>
              <w:t>）其他管理过程文档</w:t>
            </w:r>
            <w:r>
              <w:rPr>
                <w:rFonts w:ascii="仿宋_GB2312" w:hAnsi="仿宋_GB2312" w:cs="仿宋_GB2312" w:eastAsia="仿宋_GB2312"/>
                <w:sz w:val="20"/>
              </w:rPr>
              <w:t>。</w:t>
            </w:r>
          </w:p>
          <w:p>
            <w:pPr>
              <w:pStyle w:val="null3"/>
              <w:ind w:firstLine="397"/>
              <w:jc w:val="both"/>
            </w:pPr>
            <w:r>
              <w:rPr>
                <w:rFonts w:ascii="仿宋_GB2312" w:hAnsi="仿宋_GB2312" w:cs="仿宋_GB2312" w:eastAsia="仿宋_GB2312"/>
                <w:sz w:val="20"/>
                <w:b/>
              </w:rPr>
              <w:t>（二）验收标准</w:t>
            </w:r>
            <w:r>
              <w:rPr>
                <w:rFonts w:ascii="仿宋_GB2312" w:hAnsi="仿宋_GB2312" w:cs="仿宋_GB2312" w:eastAsia="仿宋_GB2312"/>
                <w:sz w:val="20"/>
              </w:rPr>
              <w:t>：</w:t>
            </w:r>
          </w:p>
          <w:p>
            <w:pPr>
              <w:pStyle w:val="null3"/>
              <w:ind w:firstLine="396"/>
              <w:jc w:val="both"/>
            </w:pPr>
            <w:r>
              <w:rPr>
                <w:rFonts w:ascii="仿宋_GB2312" w:hAnsi="仿宋_GB2312" w:cs="仿宋_GB2312" w:eastAsia="仿宋_GB2312"/>
                <w:sz w:val="20"/>
              </w:rPr>
              <w:t>采购人应严格按照项目验收流程和标准组织项目验收工作，原则上不得简化验收程序；在项目验收过程中，不得弄虚作假，不得以不正当手段干预、妨碍验收工作正常进行；应如实提供项目竣工验收有关资料和数据，不得隐匿、虚报瞒报有关资料和数据；对项目验收过程中发现的问题，应当及时组织相关责任方完成整改。</w:t>
            </w:r>
          </w:p>
          <w:p>
            <w:pPr>
              <w:pStyle w:val="null3"/>
              <w:ind w:firstLine="396"/>
              <w:jc w:val="both"/>
            </w:pPr>
            <w:r>
              <w:rPr>
                <w:rFonts w:ascii="仿宋_GB2312" w:hAnsi="仿宋_GB2312" w:cs="仿宋_GB2312" w:eastAsia="仿宋_GB2312"/>
                <w:sz w:val="20"/>
              </w:rPr>
              <w:t>验收分为初步验收、试运行验收和竣工验收。</w:t>
            </w:r>
          </w:p>
          <w:p>
            <w:pPr>
              <w:pStyle w:val="null3"/>
              <w:ind w:firstLine="396"/>
              <w:jc w:val="both"/>
            </w:pPr>
            <w:r>
              <w:rPr>
                <w:rFonts w:ascii="仿宋_GB2312" w:hAnsi="仿宋_GB2312" w:cs="仿宋_GB2312" w:eastAsia="仿宋_GB2312"/>
                <w:sz w:val="20"/>
              </w:rPr>
              <w:t>初步验收：在项目主要建设内容完成，系统具备基本运行条件后，由采购人组织相关单位对项目进行初步验收。初步验收重点检查项目是否完成合同约定的建设内容，系统功能是否达到设计要求，文档资料是否齐全。初步验收通过后，项目方可进入试运行阶段。</w:t>
            </w:r>
          </w:p>
          <w:p>
            <w:pPr>
              <w:pStyle w:val="null3"/>
              <w:ind w:firstLine="396"/>
              <w:jc w:val="both"/>
            </w:pPr>
            <w:r>
              <w:rPr>
                <w:rFonts w:ascii="仿宋_GB2312" w:hAnsi="仿宋_GB2312" w:cs="仿宋_GB2312" w:eastAsia="仿宋_GB2312"/>
                <w:sz w:val="20"/>
              </w:rPr>
              <w:t>试运行验收：项目通过初步验收后进入试运行阶段，试运行期一般不少于30天（或根据项目实际情况确定具体期限）。试运行期间，系统应稳定运行，各项性能指标满足合同及技术规范要求。试运行期满后，由采购人组织对试运行情况进行评估，检查系统运行日志、故障处理记录、用户反馈等，确认系统运行稳定、功能完善、性能达标，方可通过试运行验收。</w:t>
            </w:r>
          </w:p>
          <w:p>
            <w:pPr>
              <w:pStyle w:val="null3"/>
              <w:ind w:firstLine="396"/>
              <w:jc w:val="both"/>
            </w:pPr>
            <w:r>
              <w:rPr>
                <w:rFonts w:ascii="仿宋_GB2312" w:hAnsi="仿宋_GB2312" w:cs="仿宋_GB2312" w:eastAsia="仿宋_GB2312"/>
                <w:sz w:val="20"/>
              </w:rPr>
              <w:t>竣工验收：在项目通过试运行验收且所有问题整改完毕后，由采购人组织项目竣工验收。竣工验收是项目最终验收，应成立由相关专家、使用单位代表等组成的验收小组，依据项目合同、技术方案、国家及行业相关标准等，对项目进行全面、系统的审查和评估。验收内容包括但不限于：</w:t>
            </w:r>
          </w:p>
          <w:p>
            <w:pPr>
              <w:pStyle w:val="null3"/>
              <w:ind w:firstLine="396"/>
              <w:jc w:val="both"/>
            </w:pPr>
            <w:r>
              <w:rPr>
                <w:rFonts w:ascii="仿宋_GB2312" w:hAnsi="仿宋_GB2312" w:cs="仿宋_GB2312" w:eastAsia="仿宋_GB2312"/>
                <w:sz w:val="20"/>
              </w:rPr>
              <w:t>1.</w:t>
            </w:r>
            <w:r>
              <w:rPr>
                <w:rFonts w:ascii="仿宋_GB2312" w:hAnsi="仿宋_GB2312" w:cs="仿宋_GB2312" w:eastAsia="仿宋_GB2312"/>
                <w:sz w:val="20"/>
              </w:rPr>
              <w:t>项目整体建设目标的实现情况；</w:t>
            </w:r>
          </w:p>
          <w:p>
            <w:pPr>
              <w:pStyle w:val="null3"/>
              <w:ind w:firstLine="396"/>
              <w:jc w:val="both"/>
            </w:pPr>
            <w:r>
              <w:rPr>
                <w:rFonts w:ascii="仿宋_GB2312" w:hAnsi="仿宋_GB2312" w:cs="仿宋_GB2312" w:eastAsia="仿宋_GB2312"/>
                <w:sz w:val="20"/>
              </w:rPr>
              <w:t>2.</w:t>
            </w:r>
            <w:r>
              <w:rPr>
                <w:rFonts w:ascii="仿宋_GB2312" w:hAnsi="仿宋_GB2312" w:cs="仿宋_GB2312" w:eastAsia="仿宋_GB2312"/>
                <w:sz w:val="20"/>
              </w:rPr>
              <w:t>系统功能、性能指标的完成情况；</w:t>
            </w:r>
          </w:p>
          <w:p>
            <w:pPr>
              <w:pStyle w:val="null3"/>
              <w:ind w:firstLine="396"/>
              <w:jc w:val="both"/>
            </w:pPr>
            <w:r>
              <w:rPr>
                <w:rFonts w:ascii="仿宋_GB2312" w:hAnsi="仿宋_GB2312" w:cs="仿宋_GB2312" w:eastAsia="仿宋_GB2312"/>
                <w:sz w:val="20"/>
              </w:rPr>
              <w:t>3.</w:t>
            </w:r>
            <w:r>
              <w:rPr>
                <w:rFonts w:ascii="仿宋_GB2312" w:hAnsi="仿宋_GB2312" w:cs="仿宋_GB2312" w:eastAsia="仿宋_GB2312"/>
                <w:sz w:val="20"/>
              </w:rPr>
              <w:t>项目文档资料（包括设计文档、测试报告、用户手册、培训记录、运维方案等）的完整性与规范性；</w:t>
            </w:r>
          </w:p>
          <w:p>
            <w:pPr>
              <w:pStyle w:val="null3"/>
              <w:ind w:firstLine="396"/>
              <w:jc w:val="both"/>
            </w:pPr>
            <w:r>
              <w:rPr>
                <w:rFonts w:ascii="仿宋_GB2312" w:hAnsi="仿宋_GB2312" w:cs="仿宋_GB2312" w:eastAsia="仿宋_GB2312"/>
                <w:sz w:val="20"/>
              </w:rPr>
              <w:t>4.</w:t>
            </w:r>
            <w:r>
              <w:rPr>
                <w:rFonts w:ascii="仿宋_GB2312" w:hAnsi="仿宋_GB2312" w:cs="仿宋_GB2312" w:eastAsia="仿宋_GB2312"/>
                <w:sz w:val="20"/>
              </w:rPr>
              <w:t>试运行情况及问题整改情况；</w:t>
            </w:r>
          </w:p>
          <w:p>
            <w:pPr>
              <w:pStyle w:val="null3"/>
              <w:ind w:firstLine="396"/>
              <w:jc w:val="both"/>
            </w:pPr>
            <w:r>
              <w:rPr>
                <w:rFonts w:ascii="仿宋_GB2312" w:hAnsi="仿宋_GB2312" w:cs="仿宋_GB2312" w:eastAsia="仿宋_GB2312"/>
                <w:sz w:val="20"/>
              </w:rPr>
              <w:t>5.</w:t>
            </w:r>
            <w:r>
              <w:rPr>
                <w:rFonts w:ascii="仿宋_GB2312" w:hAnsi="仿宋_GB2312" w:cs="仿宋_GB2312" w:eastAsia="仿宋_GB2312"/>
                <w:sz w:val="20"/>
              </w:rPr>
              <w:t>项目资金使用情况；</w:t>
            </w:r>
          </w:p>
          <w:p>
            <w:pPr>
              <w:pStyle w:val="null3"/>
              <w:ind w:firstLine="396"/>
              <w:jc w:val="both"/>
            </w:pPr>
            <w:r>
              <w:rPr>
                <w:rFonts w:ascii="仿宋_GB2312" w:hAnsi="仿宋_GB2312" w:cs="仿宋_GB2312" w:eastAsia="仿宋_GB2312"/>
                <w:sz w:val="20"/>
              </w:rPr>
              <w:t>6.</w:t>
            </w:r>
            <w:r>
              <w:rPr>
                <w:rFonts w:ascii="仿宋_GB2312" w:hAnsi="仿宋_GB2312" w:cs="仿宋_GB2312" w:eastAsia="仿宋_GB2312"/>
                <w:sz w:val="20"/>
              </w:rPr>
              <w:t>项目培训及知识转移情况。</w:t>
            </w:r>
          </w:p>
          <w:p>
            <w:pPr>
              <w:pStyle w:val="null3"/>
              <w:jc w:val="both"/>
            </w:pPr>
            <w:r>
              <w:rPr>
                <w:rFonts w:ascii="仿宋_GB2312" w:hAnsi="仿宋_GB2312" w:cs="仿宋_GB2312" w:eastAsia="仿宋_GB2312"/>
                <w:sz w:val="20"/>
              </w:rPr>
              <w:t>竣工验收通过后，形成正式的竣工验收报告，项目正式移交采购人使用和管理。对验收中发现的问题，采购人应明确整改要求和时限，督促承建单位限期整改，并组织复验。未通过验收的项目，不得投入使用，采购人有权依据合同约定追究相关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满足采购人的第三章 磋商项目技术、服务、商务及其他要求。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满足采购人的第三章 磋商项目技术、服务、商务及其他要求。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满足采购人的第三章 磋商项目技术、服务、商务及其他要求。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满足采购人的第三章 磋商项目技术、服务、商务及其他要求。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满足采购人的第三章 磋商项目技术、服务、商务及其他要求。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满足采购人的第三章 磋商项目技术、服务、商务及其他要求。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合同签订之日起8个月内完成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合同签订之日起8个月内完成。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严格按照项目验收流程和标准组织项目验收工作，原则上不得简化验收程序；在项目验收过程中，不得弄虚作假，不得以不正当手段干预、妨碍验收工作正常进行；应如实提供项目竣工验收有关资料和数据，不得隐匿、虚报瞒报有关资料和数据；对项目验收过程中发现的问题，应当及时组织相关责任方完成整改。 验收分为初步验收、试运行验收和竣工验收。详见第三章 磋商项目技术、服务、商务及其他要求。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应严格按照项目验收流程和标准组织项目验收工作，原则上不得简化验收程序；在项目验收过程中，不得弄虚作假，不得以不正当手段干预、妨碍验收工作正常进行；应如实提供项目竣工验收有关资料和数据，不得隐匿、虚报瞒报有关资料和数据；对项目验收过程中发现的问题，应当及时组织相关责任方完成整改。 验收分为初步验收、试运行验收和竣工验收。详见第三章 磋商项目技术、服务、商务及其他要求。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付款方式为分期付款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系统开发结束，并交甲方验收合格之日起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合同签订后一个月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系统开发结束，并交甲方验收合格之日起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甲方没有正当理由逾期支付合同款项的，每延期一日，甲方应按照逾期支付金额的0.1‰承担违约责任，逾期付款违约金以本合同总金额10%为限。延期达到90日，乙方有权解除合同，并要求甲方赔偿由此造成的经济损失。 （二）甲方存在其他违反本合同的行为，应承担相应的违约责任；违约金不足以赔偿乙方损失的，乙方有权要求甲方赔偿由此造成的经济损失。 （三）乙方逾期提供服务成果的，每延期一日，乙方应按照合同总金额的0.1‰承担违约责任。延期达到90日，甲方有权解除合同，拒付延期部分的相应服务款项，同时，乙方应向甲方支付本合同总金额 20% 的违约金，违约金不足以赔偿甲方损失的，乙方应赔偿甲方由此造成的损失。 （四）乙方交付的服务不符合质量要求，或其服务成果存在侵权行为的，甲方有权解除合同，并要求乙方支付合同总金额20%的违约金，违约金不足以赔偿甲方损失的，乙方应赔偿甲方由此产生的损失。 （五）乙方在参与本项目采购活动过程中，如存在提供虚假承诺、证明、串通投标等违法违规行为，除承担相应的行政责任外，甲方有权解除合同，并要求乙方承担合同总金额20%的违约金，违约金不足以赔偿甲方损失的，乙方应赔偿甲方由此产生的损失。 （六）乙方存在其他违反本合同的行为，应承担相应的违约责任，向甲方支付本合同总金额20%的违约金；违约金不足以赔偿甲方损失的，甲方有权要求乙方赔偿经济损失。 解决争议的方法： 合同发生纠纷时，双方应协商解决，协商不成，双方均可向甲方所在地人民法院提起诉讼。 解决争议的方法：合同发生纠纷时，双方应协商解决，协商不成，双方均可向甲方所在地人民法院提起诉讼。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一）甲方没有正当理由逾期支付合同款项的，每延期一日，甲方应按照逾期支付金额的0.1‰承担违约责任，逾期付款违约金以本合同总金额10%为限。延期达到90日，乙方有权解除合同，并要求甲方赔偿由此造成的经济损失。 （二）甲方存在其他违反本合同的行为，应承担相应的违约责任；违约金不足以赔偿乙方损失的，乙方有权要求甲方赔偿由此造成的经济损失。 （三）乙方逾期提供服务成果的，每延期一日，乙方应按照合同总金额的0.1‰承担违约责任。延期达到90日，甲方有权解除合同，拒付延期部分的相应服务款项，同时，乙方应向甲方支付本合同总金额 20% 的违约金，违约金不足以赔偿甲方损失的，乙方应赔偿甲方由此造成的损失。 （四）乙方交付的服务不符合质量要求，或其服务成果存在侵权行为的，甲方有权解除合同，并要求乙方支付合同总金额20%的违约金，违约金不足以赔偿甲方损失的，乙方应赔偿甲方由此产生的损失。 （五）乙方在参与本项目采购活动过程中，如存在提供虚假承诺、证明、串通投标等违法违规行为，除承担相应的行政责任外，甲方有权解除合同，并要求乙方承担合同总金额20%的违约金，违约金不足以赔偿甲方损失的，乙方应赔偿甲方由此产生的损失。 （六）乙方存在其他违反本合同的行为，应承担相应的违约责任，向甲方支付本合同总金额20%的违约金；违约金不足以赔偿甲方损失的，甲方有权要求乙方赔偿经济损失。 解决争议的方法： 合同发生纠纷时，双方应协商解决，协商不成，双方均可向甲方所在地人民法院提起诉讼。 解决争议的方法：合同发生纠纷时，双方应协商解决，协商不成，双方均可向甲方所在地人民法院提起诉讼。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1、因系统设置板块原因，本项目付款方式标准按照3.2.2要求的付款方式为准。 2、本项目采购内容“2025年西安市不动产登记及权调应急开发项目”对应的中小企业划分标准所属行业为：软件和信息技术服务业。 3、供应商需要在线提交所有通过电子化交易平台实施的政府采购项目的响应文件，成交供应商在领取中标通知书时向代理机构提供纸质版投标文件2套和电子版投标文件2份（U盘存储），纸质版投标文件必须与参与评审的电子版投标文件一致并装订成册签字盖章且连续编码。递交文件地点：陕西省西安市曲江新区旺座曲江B座3105。 4、各供应商应根据“陕西省财政厅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供应商认为有必要说明的其他资料.docx 中小企业声明函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供应商须具有测绘乙级（含乙级）以上资质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拟派项目负责人具有行业主管部门颁发的注册测绘师或测绘中级及以上职称证书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提供2024年10月至今已缴存任意一个月社会保障资金缴存单据或社保机构开具的社会保险参保缴费证明，依法不需要缴纳社会保障资金的单位应提供相应证明文件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开标的，须出具法定代表人授权书及授权代表身份证、授权代表本单位证明（开标前三个月的个人养老保险本单位缴纳证明）。 法人的分支机构参与开标时，除提供《法定代表人授权委托书》外，还须同时提供法人给分支机构出具的授权书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供应商认为有必要说明的其他资料.docx 中小企业声明函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提供2024年10月至今已缴存任意一个月社会保障资金缴存单据或社保机构开具的社会保险参保缴费证明，依法不需要缴纳社会保障资金的单位应提供相应证明文件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开标的，须出具法定代表人授权书及授权代表身份证、授权代表本单位证明（开标前三个月的个人养老保险本单位缴纳证明）。 法人的分支机构参与开标时，除提供《法定代表人授权委托书》外，还须同时提供法人给分支机构出具的授权书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满足本招标文件中的实质性条款（服务期限、服务地点、付款方式、采购内容）要求</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满足本招标文件中的实质性条款（服务期限、服务地点、付款方式、采购内容）要求</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专业能力</w:t>
            </w:r>
          </w:p>
        </w:tc>
        <w:tc>
          <w:tcPr>
            <w:tcW w:type="dxa" w:w="2492"/>
          </w:tcPr>
          <w:p>
            <w:pPr>
              <w:pStyle w:val="null3"/>
            </w:pPr>
            <w:r>
              <w:rPr>
                <w:rFonts w:ascii="仿宋_GB2312" w:hAnsi="仿宋_GB2312" w:cs="仿宋_GB2312" w:eastAsia="仿宋_GB2312"/>
              </w:rPr>
              <w:t>1.投标人具有ISO9001质量管理体系认证证书、ISO14001环境管理体系认证证书、ISO45001职业健康安全管理体系认证证书、ISO20000信息技术服务管理体系认证证书、ISO27001信息安全管理体系认证证书且认证范围包含界线与不动产测绘、地理信息系统工程证书的，每提供1项得1分，本项最高得5分，认证范围不满足不得分。 （以上证书均能在全国认证认可信息公共服务平台(http://cx.cnca.cn/CertECloud/index/index/page)上查询到，并提供网站截图及相应证书扫描复印件件并加盖投标人公章，否则不得分。） 2.投标人具有软件成熟度CMMI5级资质证书的得1分，5级以下的不得分。 3.投标人具有有效的涉密信息系统集成乙级及以上资质的得2分，不提供得分。 以上需提供有效期内的证书扫描件，否则不得分。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拟派项目团队配置及人员资质</w:t>
            </w:r>
          </w:p>
        </w:tc>
        <w:tc>
          <w:tcPr>
            <w:tcW w:type="dxa" w:w="2492"/>
          </w:tcPr>
          <w:p>
            <w:pPr>
              <w:pStyle w:val="null3"/>
            </w:pPr>
            <w:r>
              <w:rPr>
                <w:rFonts w:ascii="仿宋_GB2312" w:hAnsi="仿宋_GB2312" w:cs="仿宋_GB2312" w:eastAsia="仿宋_GB2312"/>
              </w:rPr>
              <w:t>1、团队配置方案： 投标人针对本项目有具体可行的团队配置方案（项目经理和团队成员），包括但不限于①团队人员组织架构；②项目经理及各岗位人员配置合理、岗位职责分工明确；③项目服务团队配置人数符合采购服务要求（提供项目人员资历情况，以毕业证书或专业职称证书等为依据）；④团队有丰富的相关工作经验（提供项目服务证明佐证材料或专业资质证件）；⑤团队人员管理制度；⑥本项目实施过程中项目组与采购人的高度配合等。 每项评审标准：上述6项评审内容全部满足评审标准得6分，每有一个评审内容缺项扣2分，扣完为止。 从方案完整性、可实施性、有针对性、合理性等面方逐项进行评审。 2、团队人员资质： 2.1拟派技术负责人： 同时具备测绘类高级及以上工程师职称证书、高级信息系统项目管理师证书和测绘主管部门颁发的地理信息安全保密培训合格证书的得2分。不提供或提供不全不得分。 2.2项目组成员（除项目负责人外）： 项目组成员具有高级信息系统项目管理师证书、系统分析师证书、软件设计师证书、网络工程师证书、系统集成项目管理工程师证书且同时具备测绘主管部门颁发的地理信息安全保密培训合格证书的，每有一类得1分，最高得5分。 （注：①以上人员均须提供相关证书材料及在本单位近三个月社保证明，如新成立的公司则提供成立之日起至开标前；②项目组成员中不重复计分，单人单证）</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根据投标人对本项目理解程度（包括项目背景、工作目标、工作内容、工作原则等）进行综合评分，最高得10分。 ①方案内容非常完善，理解透彻、全部满足要求的得10分； ②方案内容基本完善，能满足采购要求的得8分； ③方案内容一般且基本合理的得6分； ④方案内容简单，方案要点基本可行得4分； ⑤方案内容有欠缺、针对性存在明显不足的，得2分； ⑥方案内容未提供或完全不符的0分。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项目整体技术方案</w:t>
            </w:r>
          </w:p>
        </w:tc>
        <w:tc>
          <w:tcPr>
            <w:tcW w:type="dxa" w:w="2492"/>
          </w:tcPr>
          <w:p>
            <w:pPr>
              <w:pStyle w:val="null3"/>
            </w:pPr>
            <w:r>
              <w:rPr>
                <w:rFonts w:ascii="仿宋_GB2312" w:hAnsi="仿宋_GB2312" w:cs="仿宋_GB2312" w:eastAsia="仿宋_GB2312"/>
              </w:rPr>
              <w:t>根据投标人提供的技术方案进行综合评分，最高得15分。 ①方案内容非常完善，全部满足或优于要求的得15分； ②方案内容基本完善，能满足采购要求的得12分； ③方案内容一般且基本合理的得10分； ④方案内容简单，方案要点基本可行得5分； ⑤方案内容有欠缺、针对性存在明显不足的，得2分； ⑥方案内容未提供或完全不符的0分。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项目组织管理方案</w:t>
            </w:r>
          </w:p>
        </w:tc>
        <w:tc>
          <w:tcPr>
            <w:tcW w:type="dxa" w:w="2492"/>
          </w:tcPr>
          <w:p>
            <w:pPr>
              <w:pStyle w:val="null3"/>
            </w:pPr>
            <w:r>
              <w:rPr>
                <w:rFonts w:ascii="仿宋_GB2312" w:hAnsi="仿宋_GB2312" w:cs="仿宋_GB2312" w:eastAsia="仿宋_GB2312"/>
              </w:rPr>
              <w:t>根据投标人提供的项目组织管理方案（包括项目组织机构配备、岗位设置、项目沟通协调等）进行综合评分，最高得8分。 ①方案详细、全面合理且有效可行的，得8分； ②方案详细合理性、针对性尚可的，得6分 ③方案内容一般且基本合理的得4分； ④方案内容简单需完善后实施的得2分； ⑤方案内容有欠缺、针对性存在明显不足的，得1分； ⑥方案内容未提供或完全不符的0分。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根据投标人对本项目的进度控制措施（包括进度安排计划、进度控制措施等）进行综合评分，最高得5分。 ①内容完善可实施性强得5分； ②内容较完善可实施得4分； ③内容简单尚可实施得3分； ④内容简单基本可行得2分； ⑤内容有缺陷需完善后实施得1分； ⑥不满足需求或未提供的不得分。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根据投标人对本项目的质量保证措施措施（包括质量控制体系、质量控制目标、质量控制措施等）进行综合评分，最高得5分。 ①方案详细、全面合理且有效可行的，得5分； ②方案详细合理性、针对性尚可的，得4分 ③方案内容一般且基本合理的得3分； ④方案内容简单需完善后实施的得2分； ⑤方案内容有欠缺、针对性存在明显不足的，得1分； ⑥方案内容未提供或完全不符的0分。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根据投标人针对本项目提供的保密方案（包括保密规章制度、保密宣传、运维团队人员定期保密培训等）进行综合评分，最高得5分。 ①内容完善可实施性强得5分； ②内容较完善可实施得4分； ③内容简单尚可实施得3分； ④内容简单基本可行得2分； ⑤内容有缺陷需完善后实施得1分； ⑥不满足需求或未提供的不得分。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根据投标人针对本项目提出的系统应急方案（包括重难点问题分析、应急流程、应对措施等）进行综合评分，最高得5分。 ①方案详细、全面合理且有效可行的，得5分； ②方案详细合理性、针对性尚可的，得4分 ③方案内容一般且基本合理的得3分； ④方案内容简单需完善后实施的得2分； ⑤方案内容有欠缺、针对性存在明显不足的，得1分； ⑥方案内容未提供或完全不符的0分。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根据投标人针对本项目提供的售后服务方案（包括服务内容、响应时间、服务方式等）进行综合评分，最高得10分。 ①方案内容非常完善，全部满足或优于要求的得10分； ②方案内容基本完善，能满足采购要求的得8分； ③方案内容一般且基本合理的得6分； ④方案内容简单，方案要点基本可行得4分； ⑤方案内容有欠缺、针对性存在明显不足的，得2分； ⑥方案内容未提供或完全不符的0分。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提供投标人自2022年1月1日以来（以合同签订时间为准），承担过类似业绩的每个得1分，最高得6分。 （提供合同扫描件加盖公章，不提供材料不得分）。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根据对本项目涉及业务的信息化现状、管理要求、业务流程的熟悉程度进行打分：①业务现状、管理要求等内容理解准确，描述全面详细，计5分；②内容理解无明显偏差，描述基本清晰，计3分；③只提供框架，无详细内容描述，计1分；④未提供相关内容不计分。 2、根据对本项目涉及系统的熟悉程度进行打分：①系统功能、架构等理解准确，描述全面详细，计5分；②内容理解无明显偏差，描述基本清晰，计3分；③只提供框架，无详细内容描述，计1分；④未提供相关内容不计分。 3、根据对本项目需求理解程度进行打分：①项目需求理解准确、描述全面详细、贴合采购要求，计5分；②项目核心需求理解无明显偏差，需求描述基本清晰，计3分；③只提供框架，无详细内容描述，计1分；④未提供相关内容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技术方案的完整性、可行性等进行打分：①技术方案完全满足采购技术要求，内容描述全面详细，与现有系统高度适配，计8分；②技术方案基本满足采购技术要求，与现有系统适配良好，计5分；③只提供框架，无详细内容描述，计1分。④未提供相关内容不计分。 2、根据技术方案的的业务满足程度进行打分：①技术方案完整覆盖本项目的业务目标，内容描述全面详细，计8分；②技术方案与核心业务目标无偏差，描述基本清晰，能满足业务的基础要求，计5分；③技术方案与核心业务目标存在轻微偏差，仅能部分满足业务需求，计1分；④未提供本项内容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项目实施方案的完整性、科学性进行打分：①实施方案涵盖项目全生命周期核心要素，内容描述全面详细，计5分；②实施方案覆盖项目核心要素，描述基本清晰，计3分；③实施方案内容不完整，核心任务缺乏明确落地方法，计1分；④未提供相关内容不计分。 2、根据项目管理能力，进度安排的合理性进行打分：①建立完善的管理机制，进度规划覆盖项目全周期，计5分；②建立核心管理机制，进度规划覆盖项目核心阶段，计3分；③只提供框架，无详细内容描述，计1分；④未提供相关内容不计分。 3、根据项目实施进度的完整性、可实施性进行打分： ①内容完善可实施性强得5分； ②内容较完善可实施得4分； ③内容简单尚可实施得3分； ④内容简单基本可行得2分； ⑤内容有缺陷需完善后实施得1分； ⑥不满足需求或未提供的不得分。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根据项目组织机构的合理性、可行性，项目经理是否具有类似本项目的实施经验及项目组成员的能力进行打分：①组织机构安排合理、团队人员类似项目实施经验丰富，人员配备满足且高于采购需求，计5分；②组织机构安排满足项目要求，部分人员具有类似项目实施经验，计3分；③组织结构不完整或团队人员无类似项目实施经验，计1分；④未提供相关内容不计分。 2、根据质量保证方案的完整性、科学性进行打分：①方案覆盖项目全生命周期质量管控环节，质量管控方法符合项目特性且成熟可靠，计5分。②方案覆盖项目重点质量管控环节，核心质量管控方法合理，计3分； ③仅提供质量保证方案框架，无详细内容描述，计1分；④未提供相关内容的不计分。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根据投标人针对本项目提供的保密方案（包括保密规章制度、保密宣传、运维团队人员定期保密培训等）进行综合评分，最高得3分。 ①内容完善可实施性强得4分； ②内容较完善可实施得2分； ③内容简单基本可行得1分； ④不满足需求或未提供的不得分。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根据投标人针对本项目提出的系统应急方案（包括重难点问题分析、应急流程、应对措施等）识别项目全流程风险，提出具体应急方案，明确风险责任人与响应时效，进行综合评分，最高得5分。 ①方案详细、全面合理且有效可行的，得5分； ②方案详细合理性、针对性尚可的，得4分 ③方案内容一般且基本合理的得3分； ④方案内容简单需完善后实施的得2分； ⑤方案内容有欠缺、针对性存在明显不足的，得1分； ⑥方案内容未提供或完全不符的0分。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根据售后服务方案的完整性、可实施性及业务满足程度进行打分：①售后服务方案内容具体、完整、详细、全面，计5分； ②售后服务方案无重大缺口，能满足日常售后需求，计2分； ③仅提供售后服务框架，无详细内容描述，计1分；④未提供相关内容的不计分。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拟派项目组人员及资质</w:t>
            </w:r>
          </w:p>
        </w:tc>
        <w:tc>
          <w:tcPr>
            <w:tcW w:type="dxa" w:w="2492"/>
          </w:tcPr>
          <w:p>
            <w:pPr>
              <w:pStyle w:val="null3"/>
            </w:pPr>
            <w:r>
              <w:rPr>
                <w:rFonts w:ascii="仿宋_GB2312" w:hAnsi="仿宋_GB2312" w:cs="仿宋_GB2312" w:eastAsia="仿宋_GB2312"/>
              </w:rPr>
              <w:t>1、团队配置方案： 投标人针对本项目有具体可行的团队配置方案（项目经理和团队成员），包括但不限于①团队人员组织架构；②项目经理及各岗位人员配置合理、岗位职责分工明确；③项目服务团队配置人数符合采购服务要求（提供项目人员资历情况，以毕业证书或专业职称证书等为依据）；④团队有丰富的相关工作经验（提供项目服务证明佐证材料或专业资质证件）；⑤团队人员管理制度；⑥本项目实施过程中项目组与采购人的高度配合等。 每项评审标准：上述6项评审内容全部满足评审标准得6分，每有一个评审内容缺项扣2分，扣完为止。 从方案完整性、可实施性、有针对性、合理性等面方逐项进行评审。 2、团队人员要求： 提供6名团队人员得3分； 每增加1名工作人员人加0.5分，最多计2分； 团队人员少于6人得0分。提供投入人员开标前6个月的本单位为其缴纳的社会保险缴纳情况证明、大专及以上学历证明。(附相关证明材料的复印件加盖供应商公章为准)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专业 能力</w:t>
            </w:r>
          </w:p>
        </w:tc>
        <w:tc>
          <w:tcPr>
            <w:tcW w:type="dxa" w:w="2492"/>
          </w:tcPr>
          <w:p>
            <w:pPr>
              <w:pStyle w:val="null3"/>
            </w:pPr>
            <w:r>
              <w:rPr>
                <w:rFonts w:ascii="仿宋_GB2312" w:hAnsi="仿宋_GB2312" w:cs="仿宋_GB2312" w:eastAsia="仿宋_GB2312"/>
              </w:rPr>
              <w:t>1、投标人具有CMMI3及以上认证证书，得1分； 2、投标人具有ITSS信息服务运行维护标准证书，得1分； 3、投标人具有ISO9001质量管理体系认证，得1分； 4、投标人具有ISO27001信息安全管理体系认证证书，得1分。 以上不提供不得分。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提供投标人自2022年1月1日以来（以合同签订时间为准），承担过类似业绩的每个得2分，最高得5分。 （提供合同扫描件加盖公章，不提供材料不得分）。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