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版本号：ZR30GN2025-CS-06520251030001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中欧班列经济圈“十五五”发展规划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ZR30GN2025-CS-065</w:t>
      </w:r>
      <w:r>
        <w:br/>
      </w:r>
      <w:r>
        <w:br/>
      </w:r>
      <w:r>
        <w:br/>
      </w:r>
    </w:p>
    <w:p>
      <w:pPr>
        <w:pStyle w:val="null3"/>
        <w:jc w:val="center"/>
        <w:outlineLvl w:val="2"/>
      </w:pPr>
      <w:r>
        <w:rPr>
          <w:rFonts w:ascii="仿宋_GB2312" w:hAnsi="仿宋_GB2312" w:cs="仿宋_GB2312" w:eastAsia="仿宋_GB2312"/>
          <w:sz w:val="28"/>
          <w:b/>
        </w:rPr>
        <w:t>西安市发展和改革委员会（本级）</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西安市发展和改革委员会（本级）</w:t>
      </w:r>
      <w:r>
        <w:rPr>
          <w:rFonts w:ascii="仿宋_GB2312" w:hAnsi="仿宋_GB2312" w:cs="仿宋_GB2312" w:eastAsia="仿宋_GB2312"/>
        </w:rPr>
        <w:t>委托，拟对</w:t>
      </w:r>
      <w:r>
        <w:rPr>
          <w:rFonts w:ascii="仿宋_GB2312" w:hAnsi="仿宋_GB2312" w:cs="仿宋_GB2312" w:eastAsia="仿宋_GB2312"/>
        </w:rPr>
        <w:t>中欧班列经济圈“十五五”发展规划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ZR30GN2025-CS-065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中欧班列经济圈“十五五”发展规划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中欧班列经济圈 “十五五”发展规划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采购包1（中欧班列经济圈“十五五”发展规划）：属于专门面向中小企业采购。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西安市政府7号楼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西安市发展和改革委员会（本级）经办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86788836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彭经理 冯经理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规定标准收取，代理服务费不足5000元按5000元收取。 成交单位的代理服务费交纳信息 银行户名：陕西中润国际招标有限公司 开户银行：中信银行西安曲江池北路支行 账号：7251310182600086350 联系人：李帆 联系电话：029-87321299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西安市发展和改革委员会（本级）</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联系人：彭经理 冯经理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中欧班列经济圈 “十五五”发展规划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中欧班列经济圈 “十五五”发展规划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标的名称：中欧班列经济圈 “十五五”发展规划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（一）服务内容：围绕中欧班列经济圈</w:t>
            </w:r>
            <w:r>
              <w:rPr>
                <w:rFonts w:ascii="仿宋_GB2312" w:hAnsi="仿宋_GB2312" w:cs="仿宋_GB2312" w:eastAsia="仿宋_GB2312"/>
                <w:sz w:val="20"/>
              </w:rPr>
              <w:t>“十五五”时期高质量发展核心目标，结合西安市作为内陆开放枢纽的战略定位，开展发展规划专项研究工作。通过系统研判全球供应链格局调整、国内区域协调发展及中欧班列沿线国家合作态势，分析经济圈在“十四五”期间的发展基础与识别短板问题，明确“十五五”时期经济圈的发展定位、主要目标与重点任务，为构建布局合理、功能完善、高效协同的中欧班列经济圈发展体系提供规划支撑，助力西安市打造“一带一路”内陆开放新高地。</w:t>
            </w:r>
          </w:p>
          <w:p>
            <w:pPr>
              <w:pStyle w:val="null3"/>
              <w:ind w:firstLine="400"/>
              <w:jc w:val="both"/>
            </w:pPr>
            <w:r>
              <w:rPr>
                <w:rFonts w:ascii="仿宋_GB2312" w:hAnsi="仿宋_GB2312" w:cs="仿宋_GB2312" w:eastAsia="仿宋_GB2312"/>
                <w:sz w:val="20"/>
              </w:rPr>
              <w:t>（二）服务要求：</w:t>
            </w:r>
            <w:r>
              <w:rPr>
                <w:rFonts w:ascii="仿宋_GB2312" w:hAnsi="仿宋_GB2312" w:cs="仿宋_GB2312" w:eastAsia="仿宋_GB2312"/>
                <w:sz w:val="20"/>
              </w:rPr>
              <w:t>落实国家</w:t>
            </w:r>
            <w:r>
              <w:rPr>
                <w:rFonts w:ascii="仿宋_GB2312" w:hAnsi="仿宋_GB2312" w:cs="仿宋_GB2312" w:eastAsia="仿宋_GB2312"/>
                <w:sz w:val="20"/>
              </w:rPr>
              <w:t>“一带一路”高质量发展、陕西省“开放型经济提升年”及西安市“内陆开放高地建设”相关政策精神，立足中欧班列经济圈的功能定位与发展实际，坚持战略引领与问题导向相结合，聚焦规划研究“前瞻性、系统性、可操作性”。提出的规划内容需结合国内同类经济圈、物流枢纽城市的规划编制先进经验，贴合经济圈发展的产业基础与资源禀赋，能够有效指导“十五五”时期经济圈建设实践。承接方</w:t>
            </w:r>
            <w:r>
              <w:rPr>
                <w:rFonts w:ascii="仿宋_GB2312" w:hAnsi="仿宋_GB2312" w:cs="仿宋_GB2312" w:eastAsia="仿宋_GB2312"/>
                <w:sz w:val="20"/>
              </w:rPr>
              <w:t>应具备相关领域研究经验与专业团队，保障工作质量与效率。</w:t>
            </w:r>
          </w:p>
          <w:p>
            <w:pPr>
              <w:pStyle w:val="null3"/>
              <w:ind w:firstLine="400"/>
              <w:jc w:val="both"/>
            </w:pPr>
            <w:r>
              <w:rPr>
                <w:rFonts w:ascii="仿宋_GB2312" w:hAnsi="仿宋_GB2312" w:cs="仿宋_GB2312" w:eastAsia="仿宋_GB2312"/>
                <w:sz w:val="20"/>
              </w:rPr>
              <w:t>（三）服务期</w:t>
            </w:r>
          </w:p>
          <w:p>
            <w:pPr>
              <w:pStyle w:val="null3"/>
            </w:pPr>
            <w:r>
              <w:rPr>
                <w:rFonts w:ascii="仿宋_GB2312" w:hAnsi="仿宋_GB2312" w:cs="仿宋_GB2312" w:eastAsia="仿宋_GB2312"/>
                <w:sz w:val="20"/>
              </w:rPr>
              <w:t xml:space="preserve">    自合同签订生效日起至本项目所有服务内容完成之日止。</w:t>
            </w:r>
            <w:r>
              <w:rPr>
                <w:rFonts w:ascii="仿宋_GB2312" w:hAnsi="仿宋_GB2312" w:cs="仿宋_GB2312" w:eastAsia="仿宋_GB2312"/>
                <w:sz w:val="20"/>
              </w:rPr>
              <w:t>2025年12月10前完成采购人要求的服务内容</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自合同签订生效日起至本项目所有服务内容完成之日止。2025年12月10前完成采购人要求的服务内容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待项目验收合格后，无任何质量问题、无争议索赔的情况下，不计利息一次付清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1.采购合同经双方签字生效后，不得擅自变更、中止或者终止合同，任何一方需变更、调整或者中止、终止合同的，应经双方协商一致后履行相应的手续或重新补订协议。 2.成交供应商所提供的主要成果如不符合合同或相应文件，或本项目不能通过验收的，采购人有权解除合同，成交供应商承担合同价款30%的违约金。争议的解决：合同执行中发生争议的，当事人双方应协商解决，协商达不成一致时，可向项目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为保证项目存档使用,供应商须递交纸质版响应文件，纸质版响应文件递交要求：详见磋商公告。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（4）投标人是民办非企业单位的，应提供其有效的登记证书复印件；（5）投标人是个体工商户的，应提供其有效的“营业执照”复印件； （6）投标人是自然人的，应提供其有效的自然人身份证明复印件。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商务应答表 服务方案 供应商资格证明文件.docx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服务方案-项目理解与需求分析</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服务方案-项目重难点解决方案</w:t>
            </w:r>
          </w:p>
        </w:tc>
        <w:tc>
          <w:tcPr>
            <w:tcW w:type="dxa" w:w="2492"/>
          </w:tcPr>
          <w:p>
            <w:pPr>
              <w:pStyle w:val="null3"/>
            </w:pPr>
            <w:r>
              <w:rPr>
                <w:rFonts w:ascii="仿宋_GB2312" w:hAnsi="仿宋_GB2312" w:cs="仿宋_GB2312" w:eastAsia="仿宋_GB2312"/>
              </w:rPr>
              <w:t>内容完整、可实施、且有针对性得12分； 内容完整、可实施得8分；方案基本完整得6分；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服务方案-工作计划</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服务方案-进度保障方案</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服务方案-服务承诺</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项目机构及人员配备-拟投入人员数量、工作经验</w:t>
            </w:r>
          </w:p>
        </w:tc>
        <w:tc>
          <w:tcPr>
            <w:tcW w:type="dxa" w:w="2492"/>
          </w:tcPr>
          <w:p>
            <w:pPr>
              <w:pStyle w:val="null3"/>
            </w:pPr>
            <w:r>
              <w:rPr>
                <w:rFonts w:ascii="仿宋_GB2312" w:hAnsi="仿宋_GB2312" w:cs="仿宋_GB2312" w:eastAsia="仿宋_GB2312"/>
              </w:rPr>
              <w:t>内容完整、可实施、且有针对性得7分； 内容完整、可实施得5分；方案基本完整得3分；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项目机构及人员配备-工作人员分工方案</w:t>
            </w:r>
          </w:p>
        </w:tc>
        <w:tc>
          <w:tcPr>
            <w:tcW w:type="dxa" w:w="2492"/>
          </w:tcPr>
          <w:p>
            <w:pPr>
              <w:pStyle w:val="null3"/>
            </w:pPr>
            <w:r>
              <w:rPr>
                <w:rFonts w:ascii="仿宋_GB2312" w:hAnsi="仿宋_GB2312" w:cs="仿宋_GB2312" w:eastAsia="仿宋_GB2312"/>
              </w:rPr>
              <w:t>内容完整、可实施、且有针对性得7分； 内容完整、可实施得5分；方案基本完整得3分；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项目机构及人员配备-团队人员管理方案</w:t>
            </w:r>
          </w:p>
        </w:tc>
        <w:tc>
          <w:tcPr>
            <w:tcW w:type="dxa" w:w="2492"/>
          </w:tcPr>
          <w:p>
            <w:pPr>
              <w:pStyle w:val="null3"/>
            </w:pPr>
            <w:r>
              <w:rPr>
                <w:rFonts w:ascii="仿宋_GB2312" w:hAnsi="仿宋_GB2312" w:cs="仿宋_GB2312" w:eastAsia="仿宋_GB2312"/>
              </w:rPr>
              <w:t>内容完整、可实施、且有针对性得7分； 内容完整、可实施得5分；方案基本完整得3分；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特殊情况、突发情况以及应急保障措施-项目实施过程中可能会发生的特殊情况、突发事件</w:t>
            </w:r>
          </w:p>
        </w:tc>
        <w:tc>
          <w:tcPr>
            <w:tcW w:type="dxa" w:w="2492"/>
          </w:tcPr>
          <w:p>
            <w:pPr>
              <w:pStyle w:val="null3"/>
            </w:pPr>
            <w:r>
              <w:rPr>
                <w:rFonts w:ascii="仿宋_GB2312" w:hAnsi="仿宋_GB2312" w:cs="仿宋_GB2312" w:eastAsia="仿宋_GB2312"/>
              </w:rPr>
              <w:t>内容完整、可实施、且有针对性得5分； 内容完整、可实施得3分；方案基本完整得1分；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特殊情况、突发情况以及应急保障措施-应对措施</w:t>
            </w:r>
          </w:p>
        </w:tc>
        <w:tc>
          <w:tcPr>
            <w:tcW w:type="dxa" w:w="2492"/>
          </w:tcPr>
          <w:p>
            <w:pPr>
              <w:pStyle w:val="null3"/>
            </w:pPr>
            <w:r>
              <w:rPr>
                <w:rFonts w:ascii="仿宋_GB2312" w:hAnsi="仿宋_GB2312" w:cs="仿宋_GB2312" w:eastAsia="仿宋_GB2312"/>
              </w:rPr>
              <w:t>内容完整、可实施、且有针对性得5分； 内容完整、可实施得3分；方案基本完整得1分；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特殊情况、突发情况以及应急保障措施-应急响应时间</w:t>
            </w:r>
          </w:p>
        </w:tc>
        <w:tc>
          <w:tcPr>
            <w:tcW w:type="dxa" w:w="2492"/>
          </w:tcPr>
          <w:p>
            <w:pPr>
              <w:pStyle w:val="null3"/>
            </w:pPr>
            <w:r>
              <w:rPr>
                <w:rFonts w:ascii="仿宋_GB2312" w:hAnsi="仿宋_GB2312" w:cs="仿宋_GB2312" w:eastAsia="仿宋_GB2312"/>
              </w:rPr>
              <w:t>内容完整、可实施、且有针对性得5分； 内容完整、可实施得3分；方案基本完整得1分；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保密、廉洁措施-保密措施</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保密、廉洁措施-廉洁措施</w:t>
            </w:r>
          </w:p>
        </w:tc>
        <w:tc>
          <w:tcPr>
            <w:tcW w:type="dxa" w:w="2492"/>
          </w:tcPr>
          <w:p>
            <w:pPr>
              <w:pStyle w:val="null3"/>
            </w:pPr>
            <w:r>
              <w:rPr>
                <w:rFonts w:ascii="仿宋_GB2312" w:hAnsi="仿宋_GB2312" w:cs="仿宋_GB2312" w:eastAsia="仿宋_GB2312"/>
              </w:rPr>
              <w:t>内容完整、可实施、且有针对性得4分； 内容完整、可实施得2分；方案基本完整得1分，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提供2020年1月1日至今类似项目业绩，提供1份得5分，满分10分。 （以合同签订时间为准，提供合同复印件加盖公章）；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