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版本号：JXRC-25102720251105001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发电机购置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JXRC-251027</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发电机购置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JXRC-251027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发电机购置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静音式柴油发电机组、汽油发电机、63A双电源切换柜等，一批。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投标人应提供相关文件证明。</w:t>
      </w:r>
    </w:p>
    <w:p>
      <w:pPr>
        <w:pStyle w:val="null3"/>
      </w:pPr>
      <w:r>
        <w:rPr>
          <w:rFonts w:ascii="仿宋_GB2312" w:hAnsi="仿宋_GB2312" w:cs="仿宋_GB2312" w:eastAsia="仿宋_GB2312"/>
        </w:rPr>
        <w:t>5、社保缴纳证明：提供自2025年5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pPr>
      <w:r>
        <w:rPr>
          <w:rFonts w:ascii="仿宋_GB2312" w:hAnsi="仿宋_GB2312" w:cs="仿宋_GB2312" w:eastAsia="仿宋_GB2312"/>
        </w:rPr>
        <w:t>8、不允许联合体投标：本项目不允许联合体投标，提供承诺函。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踏勘时间：2025-11-13 09:30:00</w:t>
            </w:r>
          </w:p>
          <w:p>
            <w:pPr>
              <w:pStyle w:val="null3"/>
              <w:ind w:firstLine="975"/>
            </w:pPr>
            <w:r>
              <w:rPr>
                <w:rFonts w:ascii="仿宋_GB2312" w:hAnsi="仿宋_GB2312" w:cs="仿宋_GB2312" w:eastAsia="仿宋_GB2312"/>
              </w:rPr>
              <w:t>踏勘地点：西安市人民医院(西安市第四医院)航天城院区门诊楼门前集合，过时不候</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静音式柴油发电机组、汽油发电机、63A双电源切换柜等，一批。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612,000.00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发电机购置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标的名称：发电机购置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一、品目1：静音式柴油发电机组（1）</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1.1额定输出功率：≥20KW</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1.2额定输出电压：380V±7%（三相四线制）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1.3额定频率：50HZ</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1.4</w:t>
            </w:r>
            <w:r>
              <w:rPr>
                <w:rFonts w:ascii="仿宋_GB2312" w:hAnsi="仿宋_GB2312" w:cs="仿宋_GB2312" w:eastAsia="仿宋_GB2312"/>
                <w:sz w:val="24"/>
              </w:rPr>
              <w:t>功率因数：≥</w:t>
            </w:r>
            <w:r>
              <w:rPr>
                <w:rFonts w:ascii="仿宋_GB2312" w:hAnsi="仿宋_GB2312" w:cs="仿宋_GB2312" w:eastAsia="仿宋_GB2312"/>
                <w:sz w:val="24"/>
              </w:rPr>
              <w:t>0.8</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1.5噪音水平：≤65dB</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1.6启动方式：电启动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1.7冷却方式：水冷</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1.8</w:t>
            </w:r>
            <w:r>
              <w:rPr>
                <w:rFonts w:ascii="仿宋_GB2312" w:hAnsi="仿宋_GB2312" w:cs="仿宋_GB2312" w:eastAsia="仿宋_GB2312"/>
                <w:sz w:val="24"/>
              </w:rPr>
              <w:t>低噪音箱体：（自带油箱≥</w:t>
            </w:r>
            <w:r>
              <w:rPr>
                <w:rFonts w:ascii="仿宋_GB2312" w:hAnsi="仿宋_GB2312" w:cs="仿宋_GB2312" w:eastAsia="仿宋_GB2312"/>
                <w:sz w:val="24"/>
              </w:rPr>
              <w:t>25L</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1.9控制器控制机组停电自启动，来电自动停机</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1.10排放标准：≥国三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1.11数量：2套</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1.12</w:t>
            </w:r>
            <w:r>
              <w:rPr>
                <w:rFonts w:ascii="仿宋_GB2312" w:hAnsi="仿宋_GB2312" w:cs="仿宋_GB2312" w:eastAsia="仿宋_GB2312"/>
                <w:sz w:val="24"/>
              </w:rPr>
              <w:t>要求防护等级，防护等级≥</w:t>
            </w:r>
            <w:r>
              <w:rPr>
                <w:rFonts w:ascii="仿宋_GB2312" w:hAnsi="仿宋_GB2312" w:cs="仿宋_GB2312" w:eastAsia="仿宋_GB2312"/>
                <w:sz w:val="24"/>
              </w:rPr>
              <w:t>IP23</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品目2：静音式柴油发电机组（2）</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1.1额定输出功率：≥30KW</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1.2额定输出电压：380V±7%（三相四线制）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1.3额定频率：50HZ</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4"/>
              </w:rPr>
              <w:t>1.4</w:t>
            </w:r>
            <w:r>
              <w:rPr>
                <w:rFonts w:ascii="仿宋_GB2312" w:hAnsi="仿宋_GB2312" w:cs="仿宋_GB2312" w:eastAsia="仿宋_GB2312"/>
                <w:sz w:val="24"/>
              </w:rPr>
              <w:t>功率因数：≥</w:t>
            </w:r>
            <w:r>
              <w:rPr>
                <w:rFonts w:ascii="仿宋_GB2312" w:hAnsi="仿宋_GB2312" w:cs="仿宋_GB2312" w:eastAsia="仿宋_GB2312"/>
                <w:sz w:val="24"/>
              </w:rPr>
              <w:t>0.8</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1.5噪音水平：≤65dB</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1.6启动方式：电启动</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1.7冷却方式：水冷</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4"/>
              </w:rPr>
              <w:t>1.8</w:t>
            </w:r>
            <w:r>
              <w:rPr>
                <w:rFonts w:ascii="仿宋_GB2312" w:hAnsi="仿宋_GB2312" w:cs="仿宋_GB2312" w:eastAsia="仿宋_GB2312"/>
                <w:sz w:val="24"/>
              </w:rPr>
              <w:t>低噪音箱体：（自带油箱≥</w:t>
            </w:r>
            <w:r>
              <w:rPr>
                <w:rFonts w:ascii="仿宋_GB2312" w:hAnsi="仿宋_GB2312" w:cs="仿宋_GB2312" w:eastAsia="仿宋_GB2312"/>
                <w:sz w:val="24"/>
              </w:rPr>
              <w:t>50L</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1.9控制器控制机组停电自启动，来电自动停机</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1.10排放标准：≥国三</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1.11数量：1套</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4"/>
              </w:rPr>
              <w:t>1.12</w:t>
            </w:r>
            <w:r>
              <w:rPr>
                <w:rFonts w:ascii="仿宋_GB2312" w:hAnsi="仿宋_GB2312" w:cs="仿宋_GB2312" w:eastAsia="仿宋_GB2312"/>
                <w:sz w:val="24"/>
              </w:rPr>
              <w:t>要求防护等级，防护等级≥</w:t>
            </w:r>
            <w:r>
              <w:rPr>
                <w:rFonts w:ascii="仿宋_GB2312" w:hAnsi="仿宋_GB2312" w:cs="仿宋_GB2312" w:eastAsia="仿宋_GB2312"/>
                <w:sz w:val="24"/>
              </w:rPr>
              <w:t>IP23</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品目3：静音式柴油发电机组（3）</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1.1额定输出功率：≥60KW</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1.2额定输出电压：380V±7%（三相四线制）</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1.3额定频率：50HZ</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4"/>
              </w:rPr>
              <w:t>1.4</w:t>
            </w:r>
            <w:r>
              <w:rPr>
                <w:rFonts w:ascii="仿宋_GB2312" w:hAnsi="仿宋_GB2312" w:cs="仿宋_GB2312" w:eastAsia="仿宋_GB2312"/>
                <w:sz w:val="24"/>
              </w:rPr>
              <w:t>功率因数：≥</w:t>
            </w:r>
            <w:r>
              <w:rPr>
                <w:rFonts w:ascii="仿宋_GB2312" w:hAnsi="仿宋_GB2312" w:cs="仿宋_GB2312" w:eastAsia="仿宋_GB2312"/>
                <w:sz w:val="24"/>
              </w:rPr>
              <w:t>0.8</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1.5噪音水平：≤65dB</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1.6启动方式：电启动</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1.7冷却方式：水冷</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sz w:val="24"/>
              </w:rPr>
              <w:t>1.8</w:t>
            </w:r>
            <w:r>
              <w:rPr>
                <w:rFonts w:ascii="仿宋_GB2312" w:hAnsi="仿宋_GB2312" w:cs="仿宋_GB2312" w:eastAsia="仿宋_GB2312"/>
                <w:sz w:val="24"/>
              </w:rPr>
              <w:t>低噪音箱体：（自带油箱≥</w:t>
            </w:r>
            <w:r>
              <w:rPr>
                <w:rFonts w:ascii="仿宋_GB2312" w:hAnsi="仿宋_GB2312" w:cs="仿宋_GB2312" w:eastAsia="仿宋_GB2312"/>
                <w:sz w:val="24"/>
              </w:rPr>
              <w:t>50L</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1.9控制器控制机组停电自启动，来电自动停机</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1.10排放标准：≥国三</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1.11数量：1套</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sz w:val="24"/>
              </w:rPr>
              <w:t>1.12</w:t>
            </w:r>
            <w:r>
              <w:rPr>
                <w:rFonts w:ascii="仿宋_GB2312" w:hAnsi="仿宋_GB2312" w:cs="仿宋_GB2312" w:eastAsia="仿宋_GB2312"/>
                <w:sz w:val="24"/>
              </w:rPr>
              <w:t>要求防护等级，防护等级≥</w:t>
            </w:r>
            <w:r>
              <w:rPr>
                <w:rFonts w:ascii="仿宋_GB2312" w:hAnsi="仿宋_GB2312" w:cs="仿宋_GB2312" w:eastAsia="仿宋_GB2312"/>
                <w:sz w:val="24"/>
              </w:rPr>
              <w:t>IP23</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品目4：静音式柴油发电机组（4）（核心产品）</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1.1额定输出功率：≥200KW</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1.2额定输出电压：380V±7%（三相四线制）</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1.3额定频率：50HZ</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sz w:val="24"/>
              </w:rPr>
              <w:t>1.4</w:t>
            </w:r>
            <w:r>
              <w:rPr>
                <w:rFonts w:ascii="仿宋_GB2312" w:hAnsi="仿宋_GB2312" w:cs="仿宋_GB2312" w:eastAsia="仿宋_GB2312"/>
                <w:sz w:val="24"/>
              </w:rPr>
              <w:t>功率因数：≥</w:t>
            </w:r>
            <w:r>
              <w:rPr>
                <w:rFonts w:ascii="仿宋_GB2312" w:hAnsi="仿宋_GB2312" w:cs="仿宋_GB2312" w:eastAsia="仿宋_GB2312"/>
                <w:sz w:val="24"/>
              </w:rPr>
              <w:t>0.8</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1.5噪音水平：≤65dB</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1.6启动方式：电启动</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1.7冷却方式：水冷</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sz w:val="24"/>
              </w:rPr>
              <w:t>1.8</w:t>
            </w:r>
            <w:r>
              <w:rPr>
                <w:rFonts w:ascii="仿宋_GB2312" w:hAnsi="仿宋_GB2312" w:cs="仿宋_GB2312" w:eastAsia="仿宋_GB2312"/>
                <w:sz w:val="24"/>
              </w:rPr>
              <w:t>低噪音箱体：（自带油箱≥</w:t>
            </w:r>
            <w:r>
              <w:rPr>
                <w:rFonts w:ascii="仿宋_GB2312" w:hAnsi="仿宋_GB2312" w:cs="仿宋_GB2312" w:eastAsia="仿宋_GB2312"/>
                <w:sz w:val="24"/>
              </w:rPr>
              <w:t>300L</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1.9控制器控制机组停电自启动，来电自动停机</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1.10排放标准：≥国三</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1.11数量：1套</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sz w:val="24"/>
              </w:rPr>
              <w:t>1.12</w:t>
            </w:r>
            <w:r>
              <w:rPr>
                <w:rFonts w:ascii="仿宋_GB2312" w:hAnsi="仿宋_GB2312" w:cs="仿宋_GB2312" w:eastAsia="仿宋_GB2312"/>
                <w:sz w:val="24"/>
              </w:rPr>
              <w:t>要求防护等级，防护等级≥</w:t>
            </w:r>
            <w:r>
              <w:rPr>
                <w:rFonts w:ascii="仿宋_GB2312" w:hAnsi="仿宋_GB2312" w:cs="仿宋_GB2312" w:eastAsia="仿宋_GB2312"/>
                <w:sz w:val="24"/>
              </w:rPr>
              <w:t>IP23</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品目5：汽油发电机</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1.1额定输出功率：≥5KW</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1.2额定输出电压：220V</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1.3额定频率：50HZ</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sz w:val="24"/>
              </w:rPr>
              <w:t>1.4</w:t>
            </w:r>
            <w:r>
              <w:rPr>
                <w:rFonts w:ascii="仿宋_GB2312" w:hAnsi="仿宋_GB2312" w:cs="仿宋_GB2312" w:eastAsia="仿宋_GB2312"/>
                <w:sz w:val="24"/>
              </w:rPr>
              <w:t>功率因数：≥</w:t>
            </w:r>
            <w:r>
              <w:rPr>
                <w:rFonts w:ascii="仿宋_GB2312" w:hAnsi="仿宋_GB2312" w:cs="仿宋_GB2312" w:eastAsia="仿宋_GB2312"/>
                <w:sz w:val="24"/>
              </w:rPr>
              <w:t>0.8</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1.5噪音水平：≤65dB</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1.6启动方式：电启动</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1.7冷却方式：风冷</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1.8油箱容量：≥25L</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1.9数量：1套</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品目6：63A双电源切换柜（有过流、过压、接地保护）。</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1.1柜体500mm*300mm*500mm（长宽高误差不超过10%）</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1.2数量：1台</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品目7：63A双电源切换开关</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1.1数量：1台</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品目8：80A双电源切换柜（有过流、过压、接地保护）。</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1.1柜体500mm*300mm*500mm（长宽高误差不超过10%）</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1.2数量：2台</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品目9：80A双电源切换开关</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1.1数量：2台</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品目10：100A双电源切换柜（有过流、过压、接地保护）。</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1.1柜体500mm*300mm*500mm（长宽高误差不超过10%）</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1.2数量：1台</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品目11：100A双电源切换开关</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1.1数量：1台</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品目12：400A双电源切换柜（有过流、过压、接地保护）。</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1.1柜体600mm*500mm*600mm（长宽高误差不超过10%）</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1.2数量：2台</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品目13：400A双电源切换开关</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1.1数量：2台</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品目14：桥架（1）</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1.1宽200mm*高100mm（含支架）</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1.2数量：110米</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品目15：桥架（2）</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1.1宽50mm*高50mm（含支架）</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1.2数量：60米</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品目16：铜接线端子（1）</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1.1DT-185mm²</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1.2数量：12个</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品目17：铜接线端子（2）</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1.1DT-150mm²</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1.2数量：22个</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品目18：铜接线端子（3）</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1.1DT-95mm²</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1.2数量：4个</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品目19：铜接线端子（4）</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1.1DT-70mm²</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1.2数量：10个</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品目20：铜接线端子（5）</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1.1DT-35mm²</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1.2数量：2个</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品目21：铜接线端子（6）</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1.1DT-16mm²</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1.2数量：24个</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品目22：铜接线端子（7）</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1.1DT-10mm²</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1.2数量：8个</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1.3 T2紫铜，镀锡</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品目23：电缆（1）</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1.1（国标铜芯）YJV-3*185mm²+1*95mm²</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1.2数量5米</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品目24：电缆（2）</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1.1（国标铜芯）YJV-3*150mm²+1*70mm²</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1.2数量130米</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品目25：电缆（3）</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1.1（国标铜芯）YJV-3*70mm²+1*35mm²</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1.2数量40米</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品目26：电缆（4）</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1.1（国标铜芯）YJV-16mm²*5芯电缆</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1.2数量450米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自甲方通知之日起≤60个日历日内完成全部货物交付、安装及调试工作，不得延期。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录入要求，实际支付时间以工作日为准）（1）合同签订后，采购人自收到等额增值税发票之日起10个工作日内，向中标供应商预付货物合同价款的40%（未收到预付款不影响中标供应商按照本合同约定的时限供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录入要求，实际支付时间以工作日为准）所有货物到达采购人指定地点，中标供应商完成安装、调试，自检合格后，提交采购人进行第一次验收；采购人自第一次验收合格且收到发票之日起，10个工作日内无息支付验收合格产品对应金额总价55%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（因系统录入要求，实际支付时间以工作日为准）（2）货物第一次验收合格满质保期后，进行二次验收，验收合格且收到发票之日起，10个工作日内无息支付验收合格产品对应金额总价5%；（3）银行转账。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 4、使用说明书；（中文）； 5、其它资料。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（一）运输由乙方负责，运杂费已包含在合同总价内，包括从货物供应地点所含的运输费、装卸费、仓储费、保险费等全部费用。 （二）运输方式由乙方自行选择，但必须保证按期交付。 （三）货物验收合格前产生的一切毁损、灭失的风险及质量问题均由乙方承担。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质保期：从验收合格之日算起，产品整机质保免费提供≥1年保修及上门服务，主要零部件不低于厂家质保年限，质保期内全部费用已核算在产品价款内。 交付期：自甲方通知之日起≤60个日历日内完成全部货物交付、安装及调试工作，不得延期。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未按合同要求提供货物，或提供货物质量不能满足本合同、招标文件、投标文件等相关文件要求的，甲方有权解除合同（合同自书面解除通知到达乙方之日起解除），合同自甲方书面解除通知到达乙方之日起解除，乙方则应按合同总价的30%向甲方支付违约金，若违约金不足以弥补甲方解除合同的全部损失（包括但不限于律师费、诉讼费、保全费、公证费等维权费用、重新采购产生的费用、合同未履行导致设备不能按规划交付使用可能产生的租赁费用及其他由此造成的甲方对第三方的违约损失）的，由乙方另行支付。 （三）乙方逾期交付货物的，除应及时交足货物外，交货期每超过一天，乙方同时还应按合同最高执行总价的1%/天向甲方支付违约金；逾期交货超过10天或合同履行期内逾期情形累计达到3次的，甲方有权解除合同，合同甲方自书面解除通知到达乙方之日起解除，乙方则应按合同总价的30%向甲方支付违约金，若违约金不足以弥补甲方解除合同的全部损失（包括但不限于律师费、诉讼费、保全费、公证费等维权费用、重新采购产生的费用、合同未履行导致设备不能按规划交付使用可能产生的租赁费用及其他由此造成的甲方对第三方的违约损失）的，由乙方另行支付。 （四）因乙方产品内在质量问题，引发甲方生产或质量事故，造成甲方及第三人人身损失、财产损失的，乙方应赔偿甲方为此支付的所有费用（包括但不限于赔偿的费用、必要的律师费、诉讼费、保全费、公证费等维权费用、罚款等），此责任不因甲方已进行质量监测而免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1、培训：提供免费培训，使操作、维护人员掌握使用、维护等操作方法，并预期达到熟练操作水平。培训具体内容可以根据甲方情况熟悉、现场使用情况等灵活调整。 2、售后服务： （1）同一主要部件出现质量问题，经过两次维修后仍无法正常使用，乙方必须更换同品牌、同型号、同规格的新产品。 （2）乙方电话响应时间小于2小时，到达现场时间不超过24小时，解决问题不超过48小时。若需返厂维修，乙方承担往返费用。 （3）乙方不能解决的故障，甲方有权指定第三方维修，维修费用由乙方承担。甲方有权从尾款中扣除，尾款已付或不足以支付全部维修费用的，由乙方另行支付。 （4）30天内，如出现质量问题，可以选择换货或退货。 （5）30天至60天内，如出现质量问题，可以选择换货。 （6）电话咨询 免费提供每周7天/每天24小时不间断的电话支持服务，解答甲方在使用过程中遇到的问题，24小时内提出解决问题的建议和操作方法。 3、投标报价包括：货物供应费、微电脑浮充电费、柴油现场加满费、机油现场加满费、防冻液现场加满费、免维护蓄电池费、运杂费、安装费、人工费、检测费、调试费、验收、税费等其它乙方履行合同义务所需的全部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不允许联合体投标</w:t>
            </w:r>
          </w:p>
        </w:tc>
        <w:tc>
          <w:tcPr>
            <w:tcW w:type="dxa" w:w="3322"/>
          </w:tcPr>
          <w:p>
            <w:pPr>
              <w:pStyle w:val="null3"/>
            </w:pPr>
            <w:r>
              <w:rPr>
                <w:rFonts w:ascii="仿宋_GB2312" w:hAnsi="仿宋_GB2312" w:cs="仿宋_GB2312" w:eastAsia="仿宋_GB2312"/>
              </w:rPr>
              <w:t>本项目不允许联合体投标，提供承诺函。</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技术响应偏离表 中小企业声明函 报价表 供应商业绩 响应文件封面 其他材料 残疾人福利性单位声明函 供应商基本信息 供应商企业关联关系声明函 标的清单 合同响应偏离表 供应商承诺书 响应函 供应商资格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供应商必须满足磋商文件的实质性要求。</w:t>
            </w:r>
          </w:p>
        </w:tc>
        <w:tc>
          <w:tcPr>
            <w:tcW w:type="dxa" w:w="1661"/>
          </w:tcPr>
          <w:p>
            <w:pPr>
              <w:pStyle w:val="null3"/>
            </w:pPr>
            <w:r>
              <w:rPr>
                <w:rFonts w:ascii="仿宋_GB2312" w:hAnsi="仿宋_GB2312" w:cs="仿宋_GB2312" w:eastAsia="仿宋_GB2312"/>
              </w:rPr>
              <w:t>商务响应偏离表 技术响应偏离表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供应商响应承诺书要求。</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投标产品的技术指标满足或高于招标文件要求的，得满分30分。技术指标（共76项）有一项不满足扣0.4分，扣完为止。 注：投标人在响应文件中应尽可能多地提供技术支持资料予以证明其技术指标响应性（包括但不限于彩色样本或产品说明书或检验报告等），并在技术响应偏离表中标注对应页码及位置。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设备选型方案： 供应商针对本项目提供具体可行的设备选型方案，包括但不限于：①所投产品型号、功能、技术规格等详细信息描述；②根据所投产品品牌与配置清单，设备配置先进、选型科学合理，从配置完整性、性能稳定性、产品使用广泛性等方面描述（供应商须提供证明材料，包括但不限于所投设备产品使用优势、市场销售情况等）；③确保设备供应渠道正常、检验手续合法有效、无产权纠纷（供应商须提供证明材料，包括但不限于授权函、销售协议、代理协议等）。 设备选型方案思路清晰、科学合理、可行性强、完全满足采购人需求得6分；设备选型方案思路清晰、科学合理、可行性较强、满足采购人需求得5分；设备选型方案合理完善、可行性较强、基本满足采购人需求得4分；设备选型方案有缺漏项、可行性一般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①保供方案（须细化到接到采购人通知后具体到每日的供货计划表）；②团队人员配置计划及车辆配送安排计划；③具有健全的产品安装、检测、调试及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三、赋分依据（满分9分）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投标人针对本项目提供质量保证承诺方案。内容包含：①符合国家相关质量标准、通过国家法定检验注册，产品性能稳定；②在产品使用、技术保障方面的承诺和保证措施。 二、评审标准 1、完整性：方案须全面，对评审内容中的各项要求有详细描述； 2、针对性：方案能够紧扣本项目实际情况，内容科学合理。 三、赋分依据（满分6分） 上述2项评审内容全部满足评审标准得6分；每有一个评审内容缺项扣3分，扣完为止；每有一项评审内容存在缺陷，扣（0-3）分。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1、完整性：方案须全面，对评审内容中的各项要求有详细描述； 2、可实施性：切合本项目实际情况，实施步骤清晰、合理； 3、针对性：方案能够紧扣本项目所采购设备种类等实际情况，内容科学合理。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投标人针对本项目提供完整的售后服务方案。内容包含：①售后服务保障体系,包括但不限于人员配备、备品备件供应计划、设备（产品）发生故障后的补救措施等方面；②提供售后服务承诺且符合实际需求。 二、评审标准 1、完整性：方案须全面，对评审内容中的各项要求有详细描述； 2、可实施性：切合本项目实际情况，实施步骤清晰、合理； 3、针对性：方案能够紧扣项目实际情况，内容科学合理。 三、赋分依据（满分6分） 上述2项评审内容全部满足评审标准得6分；每有一个评审内容缺项扣3分，扣完为止；每有一项评审内容存在缺陷，扣（0-3）分。 说明：1、缺陷是指内容没有结合项目实际需求、虽有内容但不完善、内容表述前后不一致、套用其他项目方案或与项目需求不匹配及其他不利于项目实施的等任意一种情形。 2、提供相关的佐证材料，如售后服务机构工作场所的证明材料（包括但不限于：租房协议或产权证明材料，办公场所图片，售后服务机构专职人员名单及相关行业从业资历，本行业内的技术证书及相关证明材料等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投标人针对本项目提供完整的培训方案。内容包含：①免费为使用单位培训操作维护人员；②培训及现场服务方案。 二、评审标准 1、完整性：方案须全面，对评审内容中的各项要求有详细描述； 2、可实施性：切合本项目实际情况，实施步骤清晰、合理； 3、针对性：方案能够紧扣项目实际情况，内容科学合理。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提供2022年10月1日至响应文件递交截止时间供应商同类项目业绩（以合同签订日期为准），每提供1份有效业绩得1分，满分5分； 注：响应文件中须提供完整有效的合同复印件；复印件加盖投标人公章，原件备查。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详见附件：合同响应偏离表</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