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版本号：ZCPC-2025-07520251104001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“长安新声古都新韵”新媒体深度宣传推广项目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ZCPC-2025-075</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“长安新声古都新韵”新媒体深度宣传推广项目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ZCPC-2025-075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“长安新声古都新韵”新媒体深度宣传推广项目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“长安新声 古都新韵”新媒体深度宣传推广项目，具体内容详见竞争性磋商文件。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采购包1（“长安新声 古都新韵”新媒体深度宣传推广项目）：属于专门面向中小企业采购。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1、法人授权委托书：法定代表人参与投标时，提供法定代表人身份证明及本人身份证复印件加盖公章；授权代表参与磋商时，提供企业法人授权委托书和被授权人身份证复印件加盖公章；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2、信用中国：通过“信用中国”网站（www.creditchina.gov.cn/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3、控股、管理关系：单位负责人为同一人或者存在控股、管理关系的不同供应商，不得同时参加本项目采购项目。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牛春雷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李如煊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13259838105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联系人：李如煊</w:t>
      </w:r>
    </w:p>
    <w:p>
      <w:pPr>
        <w:pStyle w:val="null3"/>
      </w:pPr>
      <w:r>
        <w:rPr>
          <w:rFonts w:ascii="仿宋_GB2312" w:hAnsi="仿宋_GB2312" w:cs="仿宋_GB2312" w:eastAsia="仿宋_GB2312"/>
        </w:rPr>
        <w:t>联系电话：13259838105</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rPr>
        <w:t>为进一步应对传播生态变革，抢占舆论引导主阵地</w:t>
      </w:r>
      <w:r>
        <w:rPr>
          <w:rFonts w:ascii="仿宋_GB2312" w:hAnsi="仿宋_GB2312" w:cs="仿宋_GB2312" w:eastAsia="仿宋_GB2312"/>
          <w:sz w:val="18"/>
        </w:rPr>
        <w:t>，</w:t>
      </w:r>
      <w:r>
        <w:rPr>
          <w:rFonts w:ascii="仿宋_GB2312" w:hAnsi="仿宋_GB2312" w:cs="仿宋_GB2312" w:eastAsia="仿宋_GB2312"/>
          <w:sz w:val="18"/>
        </w:rPr>
        <w:t>紧扣</w:t>
      </w:r>
      <w:r>
        <w:rPr>
          <w:rFonts w:ascii="仿宋_GB2312" w:hAnsi="仿宋_GB2312" w:cs="仿宋_GB2312" w:eastAsia="仿宋_GB2312"/>
          <w:sz w:val="18"/>
        </w:rPr>
        <w:t>西安</w:t>
      </w:r>
      <w:r>
        <w:rPr>
          <w:rFonts w:ascii="仿宋_GB2312" w:hAnsi="仿宋_GB2312" w:cs="仿宋_GB2312" w:eastAsia="仿宋_GB2312"/>
          <w:sz w:val="18"/>
        </w:rPr>
        <w:t xml:space="preserve">“历史古都 + 现代新城” </w:t>
      </w:r>
      <w:r>
        <w:rPr>
          <w:rFonts w:ascii="仿宋_GB2312" w:hAnsi="仿宋_GB2312" w:cs="仿宋_GB2312" w:eastAsia="仿宋_GB2312"/>
          <w:sz w:val="18"/>
        </w:rPr>
        <w:t>的</w:t>
      </w:r>
      <w:r>
        <w:rPr>
          <w:rFonts w:ascii="仿宋_GB2312" w:hAnsi="仿宋_GB2312" w:cs="仿宋_GB2312" w:eastAsia="仿宋_GB2312"/>
          <w:sz w:val="18"/>
        </w:rPr>
        <w:t>城市特质，通过统一品牌定位和协同内容输</w:t>
      </w:r>
      <w:r>
        <w:rPr>
          <w:rFonts w:ascii="仿宋_GB2312" w:hAnsi="仿宋_GB2312" w:cs="仿宋_GB2312" w:eastAsia="仿宋_GB2312"/>
          <w:sz w:val="18"/>
        </w:rPr>
        <w:t>出深度宣传</w:t>
      </w:r>
      <w:r>
        <w:rPr>
          <w:rFonts w:ascii="仿宋_GB2312" w:hAnsi="仿宋_GB2312" w:cs="仿宋_GB2312" w:eastAsia="仿宋_GB2312"/>
          <w:sz w:val="18"/>
        </w:rPr>
        <w:t>，牢牢掌握舆论引导主动权，</w:t>
      </w:r>
      <w:r>
        <w:rPr>
          <w:rFonts w:ascii="仿宋_GB2312" w:hAnsi="仿宋_GB2312" w:cs="仿宋_GB2312" w:eastAsia="仿宋_GB2312"/>
          <w:sz w:val="18"/>
        </w:rPr>
        <w:t>实现</w:t>
      </w:r>
      <w:r>
        <w:rPr>
          <w:rFonts w:ascii="仿宋_GB2312" w:hAnsi="仿宋_GB2312" w:cs="仿宋_GB2312" w:eastAsia="仿宋_GB2312"/>
          <w:sz w:val="18"/>
        </w:rPr>
        <w:t>在碎片化信息环境中的聚合效应，</w:t>
      </w:r>
      <w:r>
        <w:rPr>
          <w:rFonts w:ascii="仿宋_GB2312" w:hAnsi="仿宋_GB2312" w:cs="仿宋_GB2312" w:eastAsia="仿宋_GB2312"/>
          <w:sz w:val="18"/>
        </w:rPr>
        <w:t>拟策划实施</w:t>
      </w:r>
      <w:r>
        <w:rPr>
          <w:rFonts w:ascii="仿宋_GB2312" w:hAnsi="仿宋_GB2312" w:cs="仿宋_GB2312" w:eastAsia="仿宋_GB2312"/>
          <w:sz w:val="18"/>
        </w:rPr>
        <w:t>“长安新声 古都新韵”新媒体深度</w:t>
      </w:r>
      <w:r>
        <w:rPr>
          <w:rFonts w:ascii="仿宋_GB2312" w:hAnsi="仿宋_GB2312" w:cs="仿宋_GB2312" w:eastAsia="仿宋_GB2312"/>
          <w:sz w:val="18"/>
        </w:rPr>
        <w:t>宣传</w:t>
      </w:r>
      <w:r>
        <w:rPr>
          <w:rFonts w:ascii="仿宋_GB2312" w:hAnsi="仿宋_GB2312" w:cs="仿宋_GB2312" w:eastAsia="仿宋_GB2312"/>
          <w:sz w:val="18"/>
        </w:rPr>
        <w:t>推广项目</w:t>
      </w:r>
      <w:r>
        <w:rPr>
          <w:rFonts w:ascii="仿宋_GB2312" w:hAnsi="仿宋_GB2312" w:cs="仿宋_GB2312" w:eastAsia="仿宋_GB2312"/>
          <w:sz w:val="18"/>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“长安新声 古都新韵”新媒体深度宣传推广项目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标的名称：“长安新声 古都新韵”新媒体深度宣传推广项目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一、项目内容</w:t>
            </w:r>
          </w:p>
          <w:p>
            <w:pPr>
              <w:pStyle w:val="null3"/>
            </w:pPr>
            <w:r>
              <w:rPr>
                <w:rFonts w:ascii="仿宋_GB2312" w:hAnsi="仿宋_GB2312" w:cs="仿宋_GB2312" w:eastAsia="仿宋_GB2312"/>
                <w:sz w:val="28"/>
              </w:rPr>
              <w:t>围绕市委、市政府中心工作，紧扣西安</w:t>
            </w:r>
            <w:r>
              <w:rPr>
                <w:rFonts w:ascii="仿宋_GB2312" w:hAnsi="仿宋_GB2312" w:cs="仿宋_GB2312" w:eastAsia="仿宋_GB2312"/>
                <w:sz w:val="28"/>
              </w:rPr>
              <w:t>“历史古都 + 现代新城” 的城市特质，推出“我在西安遇见你”系列短视频50期、“长安里的唐诗”系列专题片30期、“长安夜・好戏连台”系列展示30期、“热点追踪”系列专题20期、系列评论类短视频50期，相关内容多平台刊播后，预期实现全平台综合传播量超8000万，有效提升西安城市“软实力”。</w:t>
            </w:r>
          </w:p>
          <w:p>
            <w:pPr>
              <w:pStyle w:val="null3"/>
            </w:pPr>
            <w:r>
              <w:rPr>
                <w:rFonts w:ascii="仿宋_GB2312" w:hAnsi="仿宋_GB2312" w:cs="仿宋_GB2312" w:eastAsia="仿宋_GB2312"/>
                <w:sz w:val="28"/>
              </w:rPr>
              <w:t>（一）项目规划和主题</w:t>
            </w:r>
          </w:p>
          <w:p>
            <w:pPr>
              <w:pStyle w:val="null3"/>
            </w:pPr>
            <w:r>
              <w:rPr>
                <w:rFonts w:ascii="仿宋_GB2312" w:hAnsi="仿宋_GB2312" w:cs="仿宋_GB2312" w:eastAsia="仿宋_GB2312"/>
                <w:sz w:val="28"/>
              </w:rPr>
              <w:t>1.推出“我在西安遇见你”系列短视频：配合做大做强“情满长安”特色品牌，以艺人、运动员、道德模范、外地游客等视角，充分展现西安城市服务、美食美景、文化底蕴、文创产品等，讲好西安温情故事，有力彰显城市温度，营造友好氛围。制作发布50期短视频，每期1分钟左右。</w:t>
            </w:r>
          </w:p>
          <w:p>
            <w:pPr>
              <w:pStyle w:val="null3"/>
            </w:pPr>
            <w:r>
              <w:rPr>
                <w:rFonts w:ascii="仿宋_GB2312" w:hAnsi="仿宋_GB2312" w:cs="仿宋_GB2312" w:eastAsia="仿宋_GB2312"/>
                <w:sz w:val="28"/>
              </w:rPr>
              <w:t>2.推出“长安里的唐诗”系列专题片：立足“唐诗之都”建设，以经典唐诗、著名诗人为切入点，有效挖掘联动城市历史、人文典故、文化遗产等元素，集合展示西安深厚的文化底蕴和唐诗基因。制作发布30期，每期8分钟左右。</w:t>
            </w:r>
          </w:p>
          <w:p>
            <w:pPr>
              <w:pStyle w:val="null3"/>
            </w:pPr>
            <w:r>
              <w:rPr>
                <w:rFonts w:ascii="仿宋_GB2312" w:hAnsi="仿宋_GB2312" w:cs="仿宋_GB2312" w:eastAsia="仿宋_GB2312"/>
                <w:sz w:val="28"/>
              </w:rPr>
              <w:t>3.推出“长安夜・好戏连台”系列展示：立足西安打造夜间消费聚集区、创新夜消费场景、开发夜消费品牌等举措，聚焦夜经济和演艺市场发展成果，在新媒体平台上线专题页面，制作发布30期短视频，每期2分钟左右。</w:t>
            </w:r>
          </w:p>
          <w:p>
            <w:pPr>
              <w:pStyle w:val="null3"/>
            </w:pPr>
            <w:r>
              <w:rPr>
                <w:rFonts w:ascii="仿宋_GB2312" w:hAnsi="仿宋_GB2312" w:cs="仿宋_GB2312" w:eastAsia="仿宋_GB2312"/>
                <w:sz w:val="28"/>
              </w:rPr>
              <w:t>4.推出“热点追踪”专题：聚焦社会热点事件、突发事件，以客观公正回应公众关注。通过实地走访、深入调查等方式还原事实真相，有效开展建设性舆论监督。制作发布20期，每期3—5分钟左右。</w:t>
            </w:r>
          </w:p>
          <w:p>
            <w:pPr>
              <w:pStyle w:val="null3"/>
            </w:pPr>
            <w:r>
              <w:rPr>
                <w:rFonts w:ascii="仿宋_GB2312" w:hAnsi="仿宋_GB2312" w:cs="仿宋_GB2312" w:eastAsia="仿宋_GB2312"/>
                <w:sz w:val="28"/>
              </w:rPr>
              <w:t>5.推出系列评论类短视频：对重大活动、重要会议、网络热点事件解读评论，以专业水准、权威信息回应市民群众关切，对冲压缩虚假信息的传播空间，积极引导正面舆论。制作发布50期，每期2分钟左右</w:t>
            </w:r>
            <w:r>
              <w:rPr>
                <w:rFonts w:ascii="仿宋_GB2312" w:hAnsi="仿宋_GB2312" w:cs="仿宋_GB2312" w:eastAsia="仿宋_GB2312"/>
                <w:sz w:val="28"/>
              </w:rPr>
              <w:t>。</w:t>
            </w:r>
          </w:p>
          <w:p>
            <w:pPr>
              <w:pStyle w:val="null3"/>
            </w:pPr>
            <w:r>
              <w:rPr>
                <w:rFonts w:ascii="仿宋_GB2312" w:hAnsi="仿宋_GB2312" w:cs="仿宋_GB2312" w:eastAsia="仿宋_GB2312"/>
                <w:sz w:val="28"/>
                <w:b/>
              </w:rPr>
              <w:t>二、付款方式</w:t>
            </w:r>
            <w:r>
              <w:rPr>
                <w:rFonts w:ascii="仿宋_GB2312" w:hAnsi="仿宋_GB2312" w:cs="仿宋_GB2312" w:eastAsia="仿宋_GB2312"/>
                <w:sz w:val="28"/>
              </w:rPr>
              <w:t>：</w:t>
            </w:r>
            <w:r>
              <w:rPr>
                <w:rFonts w:ascii="仿宋_GB2312" w:hAnsi="仿宋_GB2312" w:cs="仿宋_GB2312" w:eastAsia="仿宋_GB2312"/>
                <w:sz w:val="28"/>
              </w:rPr>
              <w:t>服务费用分贰次支付。合同签订且供应商开具增值税发票后的</w:t>
            </w:r>
            <w:r>
              <w:rPr>
                <w:rFonts w:ascii="仿宋_GB2312" w:hAnsi="仿宋_GB2312" w:cs="仿宋_GB2312" w:eastAsia="仿宋_GB2312"/>
                <w:sz w:val="28"/>
              </w:rPr>
              <w:t>30个工作日内，以银行转账方式向其支付合同总费用90%。项目结束后，供应商出具结项报告，第三方验收完成后30个工作日内，付清10%尾款</w:t>
            </w:r>
            <w:r>
              <w:rPr>
                <w:rFonts w:ascii="仿宋_GB2312" w:hAnsi="仿宋_GB2312" w:cs="仿宋_GB2312" w:eastAsia="仿宋_GB2312"/>
                <w:sz w:val="28"/>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根据合同要求和内容，委托政府采购代理机构组织验收工作，按规定履行验收手续，符合国家相关规定及行业验收的合格标准。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合同签订且供应商开具增值税发票后的</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代理服务费：参考国家计委颁发的《招标代理服务收费管理暂行办法》（计价格[2002]1980号）和国家发展改革委员会办公厅颁发的《关于招标代理服务收费有关问题的通知》（发改办价格[2003]857号）的有关规定按标准收取。不足伍仟元按伍仟元收取。成交服务费按约定由成交供应商支付。本项目代理服务费按服务计取。 注：磋商代理服务收费按差额定率累进法计算。 2、供应商将招标代理服务费计入投标报价但不单独列明，成交供应商在领取成交通知书前，须向采购代理机构一次性支付招标代理服务费；代理服务费以转账、电汇或现金等形式交纳。 请将采购代理服务费汇至下列指定账户： 户 名：陕西众灿品诚项目管理有限公司 开户银行：招商银行西安分行钟楼支行 账 号：129914150610901 3、各供应商应根据“陕西省财政厅 陕财办采函[2023]14号文”陕西省财政厅关于省级预算单位全面推行政府采购项目电 子化交易的通知”、《政府采购项目电子化交易规则》等文件的要求，做好人员配备、设施设备、系统操作的相应准备，熟悉 并正确实施相关操作流程，承担由于操作或其他因素造成的不利后果。4、需要落实的政府采购政策：(1)符合国务院有关部 门根据企业从业人员、营业收入、资产总额等指标制定的中小企业划型标准（工信部联企业〔2011〕300号）；(2)国家统计局 关于印发《统计上大中小微型企业划分办法（2017）》的通知；(3)《政府采购促进中小企业发展管理办法》（财库[2020]46 号）；(4)《关于政府采购支持监狱企业发展有关问题的通知》（财库[2014]68号）；(5)《关于促进残疾人就业政府采购政策 的通知》（财库[2017]141号）；(6)《财政部发展改革委生态环境部市场监管总局关于调整优化节能产品、环境标志产品政府 采购执行机制的通知》（财库〔2019〕9号）；(7)《关于印发环境标志产品政府采购品目清单的通知》（财库[2019]18号文） ； (8)《关于印发节能产品政府采购品目清单的通知》（财库[2019]19号文）及其他政府采购政策。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供应商应提交的相关资格证明材料.docx 残疾人福利性单位声明函 服务方案 标的清单 响应函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提供2025年4月1日至今任意时段的社会保障资金缴存单据或社保机构开具的社会保险参保缴费情况证明，依法不需要缴纳社会保障资金的提供相关文件证明；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提供2025年4月1日至今任意时段的纳税证明或完税证明，纳税证明或完税证明上应有代收机构或税务机关的公章，依法免税的应提供相关文件证明；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报价表 响应函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报价表 响应函 分项报价表.pdf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针对本项目提出适用于本项目的需求响应方案，包括但不限于：①项目理解②需求分析③项目重难点分析。完全满足采购需求并符合本项目实施特点的得12分；以上方案中每缺少一项内容扣4分；每有一处内容与实际需求不符或不满足要求或与本项目需求不切合或直接套用其他项目内容的扣0.01-3.99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根据供应商针对本项目提供的服务团队进行评审。 ①人员配备齐全、经验丰富：包括且不限于主要人员具备项目的策划与执行、拍摄现场组织统筹协调、宣传推广评估等从业经验；②项目组织机构和管理机构能满足本项目工作需要、有能力按时完成项目，岗位分工与责任划分明确。 二、评审标准 1、符合度：是否对整体需求进行充分响应，不得提供与本评审项无关内容； 2、完整性：需结合整体需求，进行全方面的描述，不得缺项； 3、合理性：需依据本项目阐述，具有可执行性。 上述2项评审内容全部满足评审标准得12分，每有一个评审内容缺项扣6分，每有一项评审内容存在缺陷，扣0-5.99分，扣完为止。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供应商对本项目制定进度计划方案和各阶段的实施计划表（包括但不限于项目服务期间的需求确认、拍摄方案制定、拍摄周期、控制管理、协调管理等）。 上述评审内容全部满足评审标准得15分； 存在缺陷，扣0-14.99分，扣完为止。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供应商提供2022年01月01日至今（以合同签订时间为准）类似项目业绩（类似业绩证明材料以合同复印件为准，合同复印件应该加盖公章）每提供一个计2分，最高计10分。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本方案应包括以下5项： 1、“我在西安遇见你”系列短视频制作发布方案； 2、“长安里的唐诗”系列专题片制作发布方案； 3、“长安夜・好戏连台”系列展示制作发布方案； 4、“热点追踪”专题制作发布方案； 5、系列评论类短视频制作发布方案。 方案完全满足采购需求且符合本项目的实施特点及主题的得20分；以上方案中每缺少一项内容扣4分；每有一处内容与实际需求不符或不满足要求或与本项目需求、特点、主题不切合或直接套用其他项目内容的扣0.01-3.99分，扣完为止。未提供相关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一、针对本项目提供具体可行的质量保证措施，包括但不限于：①项目的策划与执行质量保证措施；②宣传推广评估质量保证措施。 二、评审标准： 1、完善性：服务质量保证措施必须全面，对评审内容中的各项要求有详细阐述； 2、合理性：需依据本项目阐述，具有可执行性； 3、符合性：是否对整体需求进行充分响应，不得提供与本评审项无关内容。 上述2项评审内容全部满足评审标准得16分，每有一个评审内容缺项扣8分，每有一项评审内容存在缺陷，扣0.01-7.99分，扣完为止。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投入的材料设备</w:t>
            </w:r>
          </w:p>
        </w:tc>
        <w:tc>
          <w:tcPr>
            <w:tcW w:type="dxa" w:w="2492"/>
          </w:tcPr>
          <w:p>
            <w:pPr>
              <w:pStyle w:val="null3"/>
            </w:pPr>
            <w:r>
              <w:rPr>
                <w:rFonts w:ascii="仿宋_GB2312" w:hAnsi="仿宋_GB2312" w:cs="仿宋_GB2312" w:eastAsia="仿宋_GB2312"/>
              </w:rPr>
              <w:t>拟投入与本项目相关的关键设施设备、宣传用品、专业摄影等设备的配备情况。 1、符合度：是否对整体需求进行充分响应，不得提供与本评审项无关内容； 2、完整性：需结合整体需求，进行全方面的描述，不得缺项； 3、合理性：需依据本项目阐述，具有可执行性。 上述评审内容全部满足评审标准得5分，存在缺陷，扣0-4.99分，扣完为止。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磋商报价得分=（磋商基准价/最后磋商报价）×价格权值×100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