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版本号：SXZCZB2025-ZCCS-102720251030001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绘制土地招商导引图项目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SXZCZB2025-ZCCS-1027</w:t>
      </w:r>
      <w:r>
        <w:br/>
      </w:r>
      <w:r>
        <w:br/>
      </w:r>
      <w:r>
        <w:br/>
      </w:r>
    </w:p>
    <w:p>
      <w:pPr>
        <w:pStyle w:val="null3"/>
        <w:jc w:val="center"/>
        <w:outlineLvl w:val="2"/>
      </w:pPr>
      <w:r>
        <w:rPr>
          <w:rFonts w:ascii="仿宋_GB2312" w:hAnsi="仿宋_GB2312" w:cs="仿宋_GB2312" w:eastAsia="仿宋_GB2312"/>
          <w:sz w:val="28"/>
          <w:b/>
        </w:rPr>
        <w:t>西安市投资合作局</w:t>
      </w:r>
    </w:p>
    <w:p>
      <w:pPr>
        <w:pStyle w:val="null3"/>
        <w:jc w:val="center"/>
        <w:outlineLvl w:val="2"/>
      </w:pPr>
      <w:r>
        <w:rPr>
          <w:rFonts w:ascii="仿宋_GB2312" w:hAnsi="仿宋_GB2312" w:cs="仿宋_GB2312" w:eastAsia="仿宋_GB2312"/>
          <w:sz w:val="28"/>
          <w:b/>
        </w:rPr>
        <w:t>陕西至诚项目管理集团有限公司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陕西至诚项目管理集团有限公司</w:t>
      </w:r>
      <w:r>
        <w:rPr>
          <w:rFonts w:ascii="仿宋_GB2312" w:hAnsi="仿宋_GB2312" w:cs="仿宋_GB2312" w:eastAsia="仿宋_GB2312"/>
        </w:rPr>
        <w:t>（以下简称“代理机构”）受</w:t>
      </w:r>
      <w:r>
        <w:rPr>
          <w:rFonts w:ascii="仿宋_GB2312" w:hAnsi="仿宋_GB2312" w:cs="仿宋_GB2312" w:eastAsia="仿宋_GB2312"/>
        </w:rPr>
        <w:t>西安市投资合作局</w:t>
      </w:r>
      <w:r>
        <w:rPr>
          <w:rFonts w:ascii="仿宋_GB2312" w:hAnsi="仿宋_GB2312" w:cs="仿宋_GB2312" w:eastAsia="仿宋_GB2312"/>
        </w:rPr>
        <w:t>委托，拟对</w:t>
      </w:r>
      <w:r>
        <w:rPr>
          <w:rFonts w:ascii="仿宋_GB2312" w:hAnsi="仿宋_GB2312" w:cs="仿宋_GB2312" w:eastAsia="仿宋_GB2312"/>
        </w:rPr>
        <w:t>绘制土地招商导引图项目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SXZCZB2025-ZCCS-1027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绘制土地招商导引图项目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绘制土地招商导引图项目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3、财务审计报告：提供2024年度的财务审计报告（成立时间至提交响应文件截止时间不足一年的可提供成立后任意时段的资产负债表），或开标时间前六个月内银行出具的资信证明；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4、税收缴纳证明：提供近一年内至今已缴纳任意一个月的纳税证明或完税证明（任意税种），依法免税的单位应提供相关证明材料；</w:t>
      </w:r>
    </w:p>
    <w:p>
      <w:pPr>
        <w:pStyle w:val="null3"/>
      </w:pPr>
      <w:r>
        <w:rPr>
          <w:rFonts w:ascii="仿宋_GB2312" w:hAnsi="仿宋_GB2312" w:cs="仿宋_GB2312" w:eastAsia="仿宋_GB2312"/>
        </w:rPr>
        <w:t>5、社会保障资金缴纳证明：提供近一年内已缴纳任意一个月的社会保障资金缴存单据或社保机构开具的社会保险参保缴费情况证明，依法不需要缴纳社会保障资金的单位应提供相关证明材料；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6、相关主体信用记录：供应商通过“信用中国”网站(www.creditchina.gov.cn)、中国政府采购网(www.ccgp.gov.cn)等查询相关主体信用记录；</w:t>
      </w:r>
    </w:p>
    <w:p>
      <w:pPr>
        <w:pStyle w:val="null3"/>
      </w:pPr>
      <w:r>
        <w:rPr>
          <w:rFonts w:ascii="仿宋_GB2312" w:hAnsi="仿宋_GB2312" w:cs="仿宋_GB2312" w:eastAsia="仿宋_GB2312"/>
        </w:rPr>
        <w:t>7、书面声明：参加政府采购活动前3年内，在经营活动中没有重大违法记录的书面声明；</w:t>
      </w:r>
    </w:p>
    <w:p>
      <w:pPr>
        <w:pStyle w:val="null3"/>
      </w:pPr>
      <w:r>
        <w:rPr>
          <w:rFonts w:ascii="仿宋_GB2312" w:hAnsi="仿宋_GB2312" w:cs="仿宋_GB2312" w:eastAsia="仿宋_GB2312"/>
        </w:rPr>
        <w:t>8、履约承诺：提供具有履行本合同所必需的设备和专业技术能力的说明及承诺书；</w:t>
      </w:r>
    </w:p>
    <w:p>
      <w:pPr>
        <w:pStyle w:val="null3"/>
      </w:pPr>
      <w:r>
        <w:rPr>
          <w:rFonts w:ascii="仿宋_GB2312" w:hAnsi="仿宋_GB2312" w:cs="仿宋_GB2312" w:eastAsia="仿宋_GB2312"/>
        </w:rPr>
        <w:t>9、非联合体承诺：本项目不接受联合体磋商（提供承诺书）。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西安市投资合作局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未央路301号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西安市投资合作局经办刘彬</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029-86785613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陕西至诚项目管理集团有限公司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陕西省西安市经济技术开发区未央路171-1号银池道拉斯财富中心21楼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胡晓均、倪沛、王欣玫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029-88219779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[2002]1980号）和国家发展改革委员会办公厅颁发的《关于招标代理服务收费有关问题的通知》（发改办价格[2003]857号）的有关规定执行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西安市投资合作局</w:t>
      </w:r>
      <w:r>
        <w:rPr>
          <w:rFonts w:ascii="仿宋_GB2312" w:hAnsi="仿宋_GB2312" w:cs="仿宋_GB2312" w:eastAsia="仿宋_GB2312"/>
        </w:rPr>
        <w:t>和</w:t>
      </w:r>
      <w:r>
        <w:rPr>
          <w:rFonts w:ascii="仿宋_GB2312" w:hAnsi="仿宋_GB2312" w:cs="仿宋_GB2312" w:eastAsia="仿宋_GB2312"/>
        </w:rPr>
        <w:t>陕西至诚项目管理集团有限公司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西安市投资合作局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陕西至诚项目管理集团有限公司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西安市投资合作局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陕西至诚项目管理集团有限公司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联系人：胡晓均、倪沛、王欣玫</w:t>
      </w:r>
    </w:p>
    <w:p>
      <w:pPr>
        <w:pStyle w:val="null3"/>
      </w:pPr>
      <w:r>
        <w:rPr>
          <w:rFonts w:ascii="仿宋_GB2312" w:hAnsi="仿宋_GB2312" w:cs="仿宋_GB2312" w:eastAsia="仿宋_GB2312"/>
        </w:rPr>
        <w:t>联系电话：029-88219779</w:t>
      </w:r>
    </w:p>
    <w:p>
      <w:pPr>
        <w:pStyle w:val="null3"/>
      </w:pPr>
      <w:r>
        <w:rPr>
          <w:rFonts w:ascii="仿宋_GB2312" w:hAnsi="仿宋_GB2312" w:cs="仿宋_GB2312" w:eastAsia="仿宋_GB2312"/>
        </w:rPr>
        <w:t>地址：陕西省西安市经济技术开发区未央路171-1号银池道拉斯财富中心21楼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西安市投资合作局绘制土地招商导引图项目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绘制“全市土地招商导引图+各园区土地招商导引分图”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标的名称：绘制“全市土地招商导引图+各园区土地招商导引分图”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一、项目概况</w:t>
            </w:r>
          </w:p>
          <w:p>
            <w:pPr>
              <w:pStyle w:val="null3"/>
            </w:pPr>
            <w:r>
              <w:rPr>
                <w:rFonts w:ascii="仿宋_GB2312" w:hAnsi="仿宋_GB2312" w:cs="仿宋_GB2312" w:eastAsia="仿宋_GB2312"/>
                <w:sz w:val="24"/>
              </w:rPr>
              <w:t>根据《西安市产业项目筹建全周期服务方案》，充分运用全市单元详细规划全覆盖成果，力促土地资源与产业项目需求精准匹配，进一步提升招商引资工作质效，西安市投资合作局拟组织实施</w:t>
            </w:r>
            <w:r>
              <w:rPr>
                <w:rFonts w:ascii="仿宋_GB2312" w:hAnsi="仿宋_GB2312" w:cs="仿宋_GB2312" w:eastAsia="仿宋_GB2312"/>
                <w:sz w:val="24"/>
              </w:rPr>
              <w:t>“土地招商导引图”项目。本项目旨在系统整合全市产业空间数据，绘制“全市土地招商导引图+各园区土地招商导引分图”，推动项目精准匹配与快速落地。为确保项目成果的专业性与实用性，现拟委托具备相应技术实力和实践经验的第三方服务机构承担本项目的研究与编制工作。</w:t>
            </w:r>
          </w:p>
          <w:p>
            <w:pPr>
              <w:pStyle w:val="null3"/>
            </w:pPr>
            <w:r>
              <w:rPr>
                <w:rFonts w:ascii="仿宋_GB2312" w:hAnsi="仿宋_GB2312" w:cs="仿宋_GB2312" w:eastAsia="仿宋_GB2312"/>
                <w:sz w:val="24"/>
              </w:rPr>
              <w:t>二、服务内容（包括工作区域、工作内容等）</w:t>
            </w:r>
          </w:p>
          <w:p>
            <w:pPr>
              <w:pStyle w:val="null3"/>
            </w:pPr>
            <w:r>
              <w:rPr>
                <w:rFonts w:ascii="仿宋_GB2312" w:hAnsi="仿宋_GB2312" w:cs="仿宋_GB2312" w:eastAsia="仿宋_GB2312"/>
                <w:sz w:val="24"/>
              </w:rPr>
              <w:t>本项目服务内容涵盖从数据收集到成果输出及后续服务的全流程，具体包括以下工作：</w:t>
            </w:r>
          </w:p>
          <w:p>
            <w:pPr>
              <w:pStyle w:val="null3"/>
            </w:pPr>
            <w:r>
              <w:rPr>
                <w:rFonts w:ascii="仿宋_GB2312" w:hAnsi="仿宋_GB2312" w:cs="仿宋_GB2312" w:eastAsia="仿宋_GB2312"/>
                <w:sz w:val="24"/>
              </w:rPr>
              <w:t>1、基础数据整合及调研踏勘。负责收集全市44个产业片区土地资源、规划、产业、交通、配套等基础数据，结合工业区块线划定、“存量用地”摸查以及年度土地征收储备供应计划等工作基础对数据进行整理、清洗。同时，组织专业人员开展现场踏勘，核实土地现状、区位条件及周边环境，确保数据真实准确。</w:t>
            </w:r>
          </w:p>
          <w:p>
            <w:pPr>
              <w:pStyle w:val="null3"/>
            </w:pPr>
            <w:r>
              <w:rPr>
                <w:rFonts w:ascii="仿宋_GB2312" w:hAnsi="仿宋_GB2312" w:cs="仿宋_GB2312" w:eastAsia="仿宋_GB2312"/>
                <w:sz w:val="24"/>
              </w:rPr>
              <w:t>2、产业招商信息数据图层编制。结合单元详细规划阶段性方案，细化产业招商领域、重点企业分布、创新资源点位、产业用地布局以及交通条件、设施配套等信息，明晰园区内2025年度可供应产业用地位置及规模，编制产业招商信息数据图层。</w:t>
            </w:r>
          </w:p>
          <w:p>
            <w:pPr>
              <w:pStyle w:val="null3"/>
            </w:pPr>
            <w:r>
              <w:rPr>
                <w:rFonts w:ascii="仿宋_GB2312" w:hAnsi="仿宋_GB2312" w:cs="仿宋_GB2312" w:eastAsia="仿宋_GB2312"/>
                <w:sz w:val="24"/>
              </w:rPr>
              <w:t>3、编制土地招商导引图。西安市土地招商导引图及各园区土地招商导引分图，格式包含纸质版与电子版。</w:t>
            </w:r>
          </w:p>
          <w:p>
            <w:pPr>
              <w:pStyle w:val="null3"/>
            </w:pPr>
            <w:r>
              <w:rPr>
                <w:rFonts w:ascii="仿宋_GB2312" w:hAnsi="仿宋_GB2312" w:cs="仿宋_GB2312" w:eastAsia="仿宋_GB2312"/>
                <w:sz w:val="24"/>
              </w:rPr>
              <w:t>西安市土地招商导引图（一）内容需包含七大功能区引领下的</w:t>
            </w:r>
            <w:r>
              <w:rPr>
                <w:rFonts w:ascii="仿宋_GB2312" w:hAnsi="仿宋_GB2312" w:cs="仿宋_GB2312" w:eastAsia="仿宋_GB2312"/>
                <w:sz w:val="24"/>
              </w:rPr>
              <w:t>44个产业片区布局、重点企业聚集、交通资源配置以及各片区差异化招商方向。</w:t>
            </w:r>
          </w:p>
          <w:p>
            <w:pPr>
              <w:pStyle w:val="null3"/>
            </w:pPr>
            <w:r>
              <w:rPr>
                <w:rFonts w:ascii="仿宋_GB2312" w:hAnsi="仿宋_GB2312" w:cs="仿宋_GB2312" w:eastAsia="仿宋_GB2312"/>
                <w:sz w:val="24"/>
              </w:rPr>
              <w:t>西安市土地招商导引图（二）内容需包含重点园区与</w:t>
            </w:r>
            <w:r>
              <w:rPr>
                <w:rFonts w:ascii="仿宋_GB2312" w:hAnsi="仿宋_GB2312" w:cs="仿宋_GB2312" w:eastAsia="仿宋_GB2312"/>
                <w:sz w:val="24"/>
              </w:rPr>
              <w:t>44个产业片区的衔接关系，并明晰各园区范围面积、产业用地规模、管理主体和主导产业。</w:t>
            </w:r>
          </w:p>
          <w:p>
            <w:pPr>
              <w:pStyle w:val="null3"/>
            </w:pPr>
            <w:r>
              <w:rPr>
                <w:rFonts w:ascii="仿宋_GB2312" w:hAnsi="仿宋_GB2312" w:cs="仿宋_GB2312" w:eastAsia="仿宋_GB2312"/>
                <w:sz w:val="24"/>
              </w:rPr>
              <w:t>各园区土地招商导引分图需结合单元详细规划阶段性方案，细化产业招商领域、重点企业分布、创新资源点位、产业用地布局以及交通条件、设施配套等信息，明晰园区内</w:t>
            </w:r>
            <w:r>
              <w:rPr>
                <w:rFonts w:ascii="仿宋_GB2312" w:hAnsi="仿宋_GB2312" w:cs="仿宋_GB2312" w:eastAsia="仿宋_GB2312"/>
                <w:sz w:val="24"/>
              </w:rPr>
              <w:t>2025年度可供应产业用地位置及规模，并结合可招商土地库进行定期动态更新。</w:t>
            </w:r>
          </w:p>
          <w:p>
            <w:pPr>
              <w:pStyle w:val="null3"/>
            </w:pPr>
            <w:r>
              <w:rPr>
                <w:rFonts w:ascii="仿宋_GB2312" w:hAnsi="仿宋_GB2312" w:cs="仿宋_GB2312" w:eastAsia="仿宋_GB2312"/>
                <w:sz w:val="24"/>
              </w:rPr>
              <w:t>4、动态更新与咨询服务。在合同约定的服务期内，提供成果数据的定期更新服务，确保招商地块信息的时效性和准确性。明确更新周期、更新内容与更新流程。同时，在项目交付后，提供与招商导引相关的技术咨询，确保采购方能熟练应用并充分发挥成果效用。</w:t>
            </w:r>
          </w:p>
          <w:p>
            <w:pPr>
              <w:pStyle w:val="null3"/>
            </w:pPr>
            <w:r>
              <w:rPr>
                <w:rFonts w:ascii="仿宋_GB2312" w:hAnsi="仿宋_GB2312" w:cs="仿宋_GB2312" w:eastAsia="仿宋_GB2312"/>
                <w:sz w:val="24"/>
              </w:rPr>
              <w:t>三、服务要求（如对人员配置、专业设备、服务标准等）</w:t>
            </w:r>
          </w:p>
          <w:p>
            <w:pPr>
              <w:pStyle w:val="null3"/>
            </w:pPr>
            <w:r>
              <w:rPr>
                <w:rFonts w:ascii="仿宋_GB2312" w:hAnsi="仿宋_GB2312" w:cs="仿宋_GB2312" w:eastAsia="仿宋_GB2312"/>
                <w:sz w:val="24"/>
              </w:rPr>
              <w:t>1、人员配置要求：项目团队需配备城市规划、地理信息系统等相关领域的专业技术人员，项目负责人应具备同类项目经验。</w:t>
            </w:r>
          </w:p>
          <w:p>
            <w:pPr>
              <w:pStyle w:val="null3"/>
            </w:pPr>
            <w:r>
              <w:rPr>
                <w:rFonts w:ascii="仿宋_GB2312" w:hAnsi="仿宋_GB2312" w:cs="仿宋_GB2312" w:eastAsia="仿宋_GB2312"/>
                <w:sz w:val="24"/>
              </w:rPr>
              <w:t>2、专业设备与数据要求：服务机构需拥有处理地理空间数据的专业软件和硬件设备。所有数据来源须合法、权威，坐标系统一，确保成果的规范性与准确性。</w:t>
            </w:r>
          </w:p>
          <w:p>
            <w:pPr>
              <w:pStyle w:val="null3"/>
            </w:pPr>
            <w:r>
              <w:rPr>
                <w:rFonts w:ascii="仿宋_GB2312" w:hAnsi="仿宋_GB2312" w:cs="仿宋_GB2312" w:eastAsia="仿宋_GB2312"/>
                <w:sz w:val="24"/>
              </w:rPr>
              <w:t>3、服务标准与成果要求：</w:t>
            </w:r>
          </w:p>
          <w:p>
            <w:pPr>
              <w:pStyle w:val="null3"/>
            </w:pPr>
            <w:r>
              <w:rPr>
                <w:rFonts w:ascii="仿宋_GB2312" w:hAnsi="仿宋_GB2312" w:cs="仿宋_GB2312" w:eastAsia="仿宋_GB2312"/>
                <w:sz w:val="24"/>
              </w:rPr>
              <w:t>（</w:t>
            </w:r>
            <w:r>
              <w:rPr>
                <w:rFonts w:ascii="仿宋_GB2312" w:hAnsi="仿宋_GB2312" w:cs="仿宋_GB2312" w:eastAsia="仿宋_GB2312"/>
                <w:sz w:val="24"/>
              </w:rPr>
              <w:t>1）设计标准：图面设计应专业、美观、直观，符号与注记规范清晰，符合对外招商宣传的高标准要求。</w:t>
            </w:r>
          </w:p>
          <w:p>
            <w:pPr>
              <w:pStyle w:val="null3"/>
            </w:pPr>
            <w:r>
              <w:rPr>
                <w:rFonts w:ascii="仿宋_GB2312" w:hAnsi="仿宋_GB2312" w:cs="仿宋_GB2312" w:eastAsia="仿宋_GB2312"/>
                <w:sz w:val="24"/>
              </w:rPr>
              <w:t>（</w:t>
            </w:r>
            <w:r>
              <w:rPr>
                <w:rFonts w:ascii="仿宋_GB2312" w:hAnsi="仿宋_GB2312" w:cs="仿宋_GB2312" w:eastAsia="仿宋_GB2312"/>
                <w:sz w:val="24"/>
              </w:rPr>
              <w:t>2）质量要求：所有信息需经过严格校核，确保无误。最终成果需通过采购方组织的专家评审验收。</w:t>
            </w:r>
          </w:p>
          <w:p>
            <w:pPr>
              <w:pStyle w:val="null3"/>
            </w:pPr>
            <w:r>
              <w:rPr>
                <w:rFonts w:ascii="仿宋_GB2312" w:hAnsi="仿宋_GB2312" w:cs="仿宋_GB2312" w:eastAsia="仿宋_GB2312"/>
                <w:sz w:val="24"/>
              </w:rPr>
              <w:t>（</w:t>
            </w:r>
            <w:r>
              <w:rPr>
                <w:rFonts w:ascii="仿宋_GB2312" w:hAnsi="仿宋_GB2312" w:cs="仿宋_GB2312" w:eastAsia="仿宋_GB2312"/>
                <w:sz w:val="24"/>
              </w:rPr>
              <w:t>3）保密要求：服务机构应对项目实施过程中接触到的非公开信息承担保密责任。</w:t>
            </w:r>
          </w:p>
          <w:p>
            <w:pPr>
              <w:pStyle w:val="null3"/>
            </w:pPr>
            <w:r>
              <w:rPr>
                <w:rFonts w:ascii="仿宋_GB2312" w:hAnsi="仿宋_GB2312" w:cs="仿宋_GB2312" w:eastAsia="仿宋_GB2312"/>
                <w:sz w:val="24"/>
              </w:rPr>
              <w:t>四、商务要求（如服务期限、款项结算等）</w:t>
            </w:r>
          </w:p>
          <w:p>
            <w:pPr>
              <w:pStyle w:val="null3"/>
            </w:pPr>
            <w:r>
              <w:rPr>
                <w:rFonts w:ascii="仿宋_GB2312" w:hAnsi="仿宋_GB2312" w:cs="仿宋_GB2312" w:eastAsia="仿宋_GB2312"/>
                <w:sz w:val="24"/>
              </w:rPr>
              <w:t>（一）服务期限</w:t>
            </w:r>
          </w:p>
          <w:p>
            <w:pPr>
              <w:pStyle w:val="null3"/>
            </w:pPr>
            <w:r>
              <w:rPr>
                <w:rFonts w:ascii="仿宋_GB2312" w:hAnsi="仿宋_GB2312" w:cs="仿宋_GB2312" w:eastAsia="仿宋_GB2312"/>
                <w:sz w:val="24"/>
              </w:rPr>
              <w:t>自合同签订之日起至项目所有成果（含最终交付物及约定的动态更新服务）通过采购方验收及第三方审计（如适用）止。</w:t>
            </w:r>
          </w:p>
          <w:p>
            <w:pPr>
              <w:pStyle w:val="null3"/>
            </w:pPr>
            <w:r>
              <w:rPr>
                <w:rFonts w:ascii="仿宋_GB2312" w:hAnsi="仿宋_GB2312" w:cs="仿宋_GB2312" w:eastAsia="仿宋_GB2312"/>
                <w:sz w:val="24"/>
              </w:rPr>
              <w:t>（二）款项结算</w:t>
            </w:r>
          </w:p>
          <w:p>
            <w:pPr>
              <w:pStyle w:val="null3"/>
            </w:pPr>
            <w:r>
              <w:rPr>
                <w:rFonts w:ascii="仿宋_GB2312" w:hAnsi="仿宋_GB2312" w:cs="仿宋_GB2312" w:eastAsia="仿宋_GB2312"/>
                <w:sz w:val="24"/>
              </w:rPr>
              <w:t>1、</w:t>
            </w:r>
            <w:r>
              <w:rPr>
                <w:rFonts w:ascii="仿宋_GB2312" w:hAnsi="仿宋_GB2312" w:cs="仿宋_GB2312" w:eastAsia="仿宋_GB2312"/>
                <w:sz w:val="24"/>
              </w:rPr>
              <w:t>由采购人（西安市投资合作局）负责结算。供应商在付款前，需向采购人开具等额的增值税普通发票（附详细费用清单）。</w:t>
            </w:r>
          </w:p>
          <w:p>
            <w:pPr>
              <w:pStyle w:val="null3"/>
            </w:pPr>
            <w:r>
              <w:rPr>
                <w:rFonts w:ascii="仿宋_GB2312" w:hAnsi="仿宋_GB2312" w:cs="仿宋_GB2312" w:eastAsia="仿宋_GB2312"/>
                <w:sz w:val="24"/>
              </w:rPr>
              <w:t>2、支付方式：银行转账。</w:t>
            </w:r>
          </w:p>
          <w:p>
            <w:pPr>
              <w:pStyle w:val="null3"/>
            </w:pPr>
            <w:r>
              <w:rPr>
                <w:rFonts w:ascii="仿宋_GB2312" w:hAnsi="仿宋_GB2312" w:cs="仿宋_GB2312" w:eastAsia="仿宋_GB2312"/>
                <w:sz w:val="24"/>
              </w:rPr>
              <w:t xml:space="preserve"> </w:t>
            </w:r>
            <w:r>
              <w:rPr>
                <w:rFonts w:ascii="仿宋_GB2312" w:hAnsi="仿宋_GB2312" w:cs="仿宋_GB2312" w:eastAsia="仿宋_GB2312"/>
                <w:sz w:val="24"/>
              </w:rPr>
              <w:t>项目成果（包括纸质版、电子版及全部文档）提交并通过采购方验收并审计通过后，按照审计结论支付合同</w:t>
            </w:r>
            <w:r>
              <w:rPr>
                <w:rFonts w:ascii="仿宋_GB2312" w:hAnsi="仿宋_GB2312" w:cs="仿宋_GB2312" w:eastAsia="仿宋_GB2312"/>
                <w:sz w:val="24"/>
              </w:rPr>
              <w:t>，</w:t>
            </w:r>
            <w:r>
              <w:rPr>
                <w:rFonts w:ascii="仿宋_GB2312" w:hAnsi="仿宋_GB2312" w:cs="仿宋_GB2312" w:eastAsia="仿宋_GB2312"/>
                <w:sz w:val="24"/>
              </w:rPr>
              <w:t>达到付款条件起</w:t>
            </w:r>
            <w:r>
              <w:rPr>
                <w:rFonts w:ascii="仿宋_GB2312" w:hAnsi="仿宋_GB2312" w:cs="仿宋_GB2312" w:eastAsia="仿宋_GB2312"/>
                <w:sz w:val="24"/>
              </w:rPr>
              <w:t>15</w:t>
            </w:r>
            <w:r>
              <w:rPr>
                <w:rFonts w:ascii="仿宋_GB2312" w:hAnsi="仿宋_GB2312" w:cs="仿宋_GB2312" w:eastAsia="仿宋_GB2312"/>
                <w:sz w:val="24"/>
              </w:rPr>
              <w:t xml:space="preserve"> </w:t>
            </w:r>
            <w:r>
              <w:rPr>
                <w:rFonts w:ascii="仿宋_GB2312" w:hAnsi="仿宋_GB2312" w:cs="仿宋_GB2312" w:eastAsia="仿宋_GB2312"/>
                <w:sz w:val="24"/>
              </w:rPr>
              <w:t>日内，支付合同总金额的</w:t>
            </w:r>
            <w:r>
              <w:rPr>
                <w:rFonts w:ascii="仿宋_GB2312" w:hAnsi="仿宋_GB2312" w:cs="仿宋_GB2312" w:eastAsia="仿宋_GB2312"/>
                <w:sz w:val="24"/>
              </w:rPr>
              <w:t>100</w:t>
            </w:r>
            <w:r>
              <w:rPr>
                <w:rFonts w:ascii="仿宋_GB2312" w:hAnsi="仿宋_GB2312" w:cs="仿宋_GB2312" w:eastAsia="仿宋_GB2312"/>
                <w:sz w:val="24"/>
              </w:rPr>
              <w:t>.00%。</w:t>
            </w:r>
          </w:p>
          <w:p>
            <w:pPr>
              <w:pStyle w:val="null3"/>
            </w:pPr>
            <w:r>
              <w:rPr>
                <w:rFonts w:ascii="仿宋_GB2312" w:hAnsi="仿宋_GB2312" w:cs="仿宋_GB2312" w:eastAsia="仿宋_GB2312"/>
                <w:sz w:val="24"/>
              </w:rPr>
              <w:t>五、其他</w:t>
            </w:r>
          </w:p>
          <w:p>
            <w:pPr>
              <w:pStyle w:val="null3"/>
            </w:pPr>
            <w:r>
              <w:rPr>
                <w:rFonts w:ascii="仿宋_GB2312" w:hAnsi="仿宋_GB2312" w:cs="仿宋_GB2312" w:eastAsia="仿宋_GB2312"/>
                <w:sz w:val="24"/>
              </w:rPr>
              <w:t>（一）对服务商的业绩要求</w:t>
            </w:r>
          </w:p>
          <w:p>
            <w:pPr>
              <w:pStyle w:val="null3"/>
            </w:pPr>
            <w:r>
              <w:rPr>
                <w:rFonts w:ascii="仿宋_GB2312" w:hAnsi="仿宋_GB2312" w:cs="仿宋_GB2312" w:eastAsia="仿宋_GB2312"/>
                <w:sz w:val="24"/>
              </w:rPr>
              <w:t>服务商须提供近三年内承接的类似项目业绩证明（如产业专项规划、详细规划、土地摸查等项目案例及合同关键页复印件）。</w:t>
            </w:r>
          </w:p>
          <w:p>
            <w:pPr>
              <w:pStyle w:val="null3"/>
            </w:pPr>
            <w:r>
              <w:rPr>
                <w:rFonts w:ascii="仿宋_GB2312" w:hAnsi="仿宋_GB2312" w:cs="仿宋_GB2312" w:eastAsia="仿宋_GB2312"/>
                <w:sz w:val="24"/>
              </w:rPr>
              <w:t>（二）进度要求</w:t>
            </w:r>
          </w:p>
          <w:p>
            <w:pPr>
              <w:pStyle w:val="null3"/>
            </w:pPr>
            <w:r>
              <w:rPr>
                <w:rFonts w:ascii="仿宋_GB2312" w:hAnsi="仿宋_GB2312" w:cs="仿宋_GB2312" w:eastAsia="仿宋_GB2312"/>
                <w:sz w:val="24"/>
              </w:rPr>
              <w:t>合同签订后</w:t>
            </w:r>
            <w:r>
              <w:rPr>
                <w:rFonts w:ascii="仿宋_GB2312" w:hAnsi="仿宋_GB2312" w:cs="仿宋_GB2312" w:eastAsia="仿宋_GB2312"/>
                <w:sz w:val="24"/>
              </w:rPr>
              <w:t>15日内，提交项目编制框架及工作计划。</w:t>
            </w:r>
          </w:p>
          <w:p>
            <w:pPr>
              <w:pStyle w:val="null3"/>
            </w:pPr>
            <w:r>
              <w:rPr>
                <w:rFonts w:ascii="仿宋_GB2312" w:hAnsi="仿宋_GB2312" w:cs="仿宋_GB2312" w:eastAsia="仿宋_GB2312"/>
                <w:sz w:val="24"/>
              </w:rPr>
              <w:t>合同签订后</w:t>
            </w:r>
            <w:r>
              <w:rPr>
                <w:rFonts w:ascii="仿宋_GB2312" w:hAnsi="仿宋_GB2312" w:cs="仿宋_GB2312" w:eastAsia="仿宋_GB2312"/>
                <w:sz w:val="24"/>
              </w:rPr>
              <w:t>2个月内，完成全部数据整合与初稿绘制。</w:t>
            </w:r>
          </w:p>
          <w:p>
            <w:pPr>
              <w:pStyle w:val="null3"/>
            </w:pPr>
            <w:r>
              <w:rPr>
                <w:rFonts w:ascii="仿宋_GB2312" w:hAnsi="仿宋_GB2312" w:cs="仿宋_GB2312" w:eastAsia="仿宋_GB2312"/>
                <w:sz w:val="24"/>
              </w:rPr>
              <w:t>在合同签订后</w:t>
            </w:r>
            <w:r>
              <w:rPr>
                <w:rFonts w:ascii="仿宋_GB2312" w:hAnsi="仿宋_GB2312" w:cs="仿宋_GB2312" w:eastAsia="仿宋_GB2312"/>
                <w:sz w:val="24"/>
              </w:rPr>
              <w:t>4个月内，提交全部最终成果，完成动态更新，申请验收。</w:t>
            </w:r>
          </w:p>
          <w:p>
            <w:pPr>
              <w:pStyle w:val="null3"/>
            </w:pPr>
            <w:r>
              <w:rPr>
                <w:rFonts w:ascii="仿宋_GB2312" w:hAnsi="仿宋_GB2312" w:cs="仿宋_GB2312" w:eastAsia="仿宋_GB2312"/>
                <w:sz w:val="24"/>
              </w:rPr>
              <w:t>（三）违约责任</w:t>
            </w:r>
          </w:p>
          <w:p>
            <w:pPr>
              <w:pStyle w:val="null3"/>
            </w:pPr>
            <w:r>
              <w:rPr>
                <w:rFonts w:ascii="仿宋_GB2312" w:hAnsi="仿宋_GB2312" w:cs="仿宋_GB2312" w:eastAsia="仿宋_GB2312"/>
                <w:sz w:val="24"/>
              </w:rPr>
              <w:t>1、按《中华人民共和国民法典》中的相关条款执行。</w:t>
            </w:r>
          </w:p>
          <w:p>
            <w:pPr>
              <w:pStyle w:val="null3"/>
            </w:pPr>
            <w:r>
              <w:rPr>
                <w:rFonts w:ascii="仿宋_GB2312" w:hAnsi="仿宋_GB2312" w:cs="仿宋_GB2312" w:eastAsia="仿宋_GB2312"/>
                <w:sz w:val="24"/>
              </w:rPr>
              <w:t>2、乙方未按协议要求提供服务或服务质量、成果标准不能满足协议要求的，甲方有权要求其限期整改。若整改后仍不符合要求，甲方应当将供应商违约的情况以及拟采取的措施以书面形式报政府采购监管部门，并根据政府采购监管部门的处理意见，依据《民法典》有关条款及合同约定终止合同，并要求乙方承担违约责任。同时，政府采购监管部门有权依据《中华人民共和国政府采购法》及相关法律法规对乙方的违法行为进行相应的处罚。</w:t>
            </w:r>
          </w:p>
          <w:p>
            <w:pPr>
              <w:pStyle w:val="null3"/>
            </w:pPr>
            <w:r>
              <w:rPr>
                <w:rFonts w:ascii="仿宋_GB2312" w:hAnsi="仿宋_GB2312" w:cs="仿宋_GB2312" w:eastAsia="仿宋_GB2312"/>
                <w:sz w:val="24"/>
              </w:rPr>
              <w:t>3、如有异议另行协商。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自合同签订之日起至项目所有成果（含最终交付物及约定的动态更新服务）通过采购方验收及第三方审计（如适用）止。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项目成果（包括纸质版、电子版及全部文档）提交并通过采购方验收并审计通过后，按照审计结论支付合同</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未按协议要求提供服务或服务质量、成果标准不能满足协议要求的，甲方有权要求其限期整改。若整改后仍不符合要求，甲方应当将供应商违约的情况以及拟采取的措施以书面形式报政府采购监管部门，并根据政府采购监管部门的处理意见，依据《民法典》有关条款及合同约定终止合同，并要求乙方承担违约责任。同时，政府采购监管部门有权依据《中华人民共和国政府采购法》及相关法律法规对乙方的违法行为进行相应的处罚。 3、如有异议另行协商。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提供2024年度的财务审计报告（成立时间至提交响应文件截止时间不足一年的可提供成立后任意时段的资产负债表），或开标时间前六个月内银行出具的资信证明；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提供近一年内至今已缴纳任意一个月的纳税证明或完税证明（任意税种），依法免税的单位应提供相关证明材料；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提供近一年内已缴纳任意一个月的社会保障资金缴存单据或社保机构开具的社会保险参保缴费情况证明，依法不需要缴纳社会保障资金的单位应提供相关证明材料；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相关主体信用记录</w:t>
            </w:r>
          </w:p>
        </w:tc>
        <w:tc>
          <w:tcPr>
            <w:tcW w:type="dxa" w:w="3322"/>
          </w:tcPr>
          <w:p>
            <w:pPr>
              <w:pStyle w:val="null3"/>
            </w:pPr>
            <w:r>
              <w:rPr>
                <w:rFonts w:ascii="仿宋_GB2312" w:hAnsi="仿宋_GB2312" w:cs="仿宋_GB2312" w:eastAsia="仿宋_GB2312"/>
              </w:rPr>
              <w:t>供应商通过“信用中国”网站(www.creditchina.gov.cn)、中国政府采购网(www.ccgp.gov.cn)等查询相关主体信用记录；</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履约承诺</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特定资格证明文件.docx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竞争性磋商响应文件的完整性</w:t>
            </w:r>
          </w:p>
        </w:tc>
        <w:tc>
          <w:tcPr>
            <w:tcW w:type="dxa" w:w="3322"/>
          </w:tcPr>
          <w:p>
            <w:pPr>
              <w:pStyle w:val="null3"/>
            </w:pPr>
            <w:r>
              <w:rPr>
                <w:rFonts w:ascii="仿宋_GB2312" w:hAnsi="仿宋_GB2312" w:cs="仿宋_GB2312" w:eastAsia="仿宋_GB2312"/>
              </w:rPr>
              <w:t>竞争性磋商响应文件构成是否有重大缺项，是否按照竞争性磋商文件要求的格式编写竞争性磋商响应文件</w:t>
            </w:r>
          </w:p>
        </w:tc>
        <w:tc>
          <w:tcPr>
            <w:tcW w:type="dxa" w:w="1661"/>
          </w:tcPr>
          <w:p>
            <w:pPr>
              <w:pStyle w:val="null3"/>
            </w:pPr>
            <w:r>
              <w:rPr>
                <w:rFonts w:ascii="仿宋_GB2312" w:hAnsi="仿宋_GB2312" w:cs="仿宋_GB2312" w:eastAsia="仿宋_GB2312"/>
              </w:rPr>
              <w:t>业绩.docx 服务内容及服务邀请应答表 中小企业声明函 商务应答表 特定资格证明文件.docx 供应商应提交的相关资格证明材料 报价表 响应文件封面 本项目拟投入人员汇总表.docx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竞争性磋商响应文件的有效性</w:t>
            </w:r>
          </w:p>
        </w:tc>
        <w:tc>
          <w:tcPr>
            <w:tcW w:type="dxa" w:w="3322"/>
          </w:tcPr>
          <w:p>
            <w:pPr>
              <w:pStyle w:val="null3"/>
            </w:pPr>
            <w:r>
              <w:rPr>
                <w:rFonts w:ascii="仿宋_GB2312" w:hAnsi="仿宋_GB2312" w:cs="仿宋_GB2312" w:eastAsia="仿宋_GB2312"/>
              </w:rPr>
              <w:t>竞争性磋商响应文件的签署、加盖印章是否合格、有效；提供的各种证明文件、数据、资料是否真实、有效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业绩.docx 服务内容及服务邀请应答表 中小企业声明函 商务应答表 特定资格证明文件.docx 供应商应提交的相关资格证明材料 报价表 响应文件封面 本项目拟投入人员汇总表.docx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竞争性磋商响应文件的响应性</w:t>
            </w:r>
          </w:p>
        </w:tc>
        <w:tc>
          <w:tcPr>
            <w:tcW w:type="dxa" w:w="3322"/>
          </w:tcPr>
          <w:p>
            <w:pPr>
              <w:pStyle w:val="null3"/>
            </w:pPr>
            <w:r>
              <w:rPr>
                <w:rFonts w:ascii="仿宋_GB2312" w:hAnsi="仿宋_GB2312" w:cs="仿宋_GB2312" w:eastAsia="仿宋_GB2312"/>
              </w:rPr>
              <w:t>磋商有效期是否符合竞争性磋商文件要求；是否满足本次磋商的特殊要求；磋商方案是否有重大缺漏项；磋商商务响应条款是否有重大偏离；对合同中规定的双方的权利和义务是否做出了实质性修改</w:t>
            </w:r>
          </w:p>
        </w:tc>
        <w:tc>
          <w:tcPr>
            <w:tcW w:type="dxa" w:w="1661"/>
          </w:tcPr>
          <w:p>
            <w:pPr>
              <w:pStyle w:val="null3"/>
            </w:pPr>
            <w:r>
              <w:rPr>
                <w:rFonts w:ascii="仿宋_GB2312" w:hAnsi="仿宋_GB2312" w:cs="仿宋_GB2312" w:eastAsia="仿宋_GB2312"/>
              </w:rPr>
              <w:t>业绩.docx 服务内容及服务邀请应答表 中小企业声明函 商务应答表 特定资格证明文件.docx 供应商应提交的相关资格证明材料 报价表 响应文件封面 本项目拟投入人员汇总表.docx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需求响应</w:t>
            </w:r>
          </w:p>
        </w:tc>
        <w:tc>
          <w:tcPr>
            <w:tcW w:type="dxa" w:w="2492"/>
          </w:tcPr>
          <w:p>
            <w:pPr>
              <w:pStyle w:val="null3"/>
            </w:pPr>
            <w:r>
              <w:rPr>
                <w:rFonts w:ascii="仿宋_GB2312" w:hAnsi="仿宋_GB2312" w:cs="仿宋_GB2312" w:eastAsia="仿宋_GB2312"/>
              </w:rPr>
              <w:t>一、评审内容针对本项目提出适用于本项目的需求响应方案，包括：①项目理解②需求分析③项目重难点分析 二、评审标准 1、完整性：方案必须全面，对评审内容中的各项要求有详细描述； 2、可实施性：切合本项目实际情况，提出步骤清晰、合理的方案； 3、针对性：方案能够紧扣项目实际情况，内容科学合理。 三、赋分标准（满分9分） ①项目理解：每完全满足一个评审标准得 1分，未完全满足一个评审标准得0-0.9分，满分3分； ②需求分析：每完全满足一个评审标准得1分，未完全满足一个评审标准得0-0.9分，满分3分； ③项目重难点分析：每完全满足一个评审标准得1 分，未完全满足一个评审标准得0-0.9分，满分3分。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针对本项目提出适用于本项目的服务方案，包括：①总体工作方案②项目实施计划③组织实施方案二、评审标准 1、完整性：方案必须全面，对评审内容中的各项要求有详细描述； 2、可实施性：切合本项目实际情况，提出步骤清晰、合理的方案； 3、针对性：方案能够紧扣项目实际情况，内容科学合理。 三、赋分标准（满分18分） ①总体工作方案：每完全满足一个评审标准得2分，未完全满足一个评审标准得0-1.9分，满分6分； ②项目实施计划：每完全满足一个评审标准得2分，未完全满足一个评审标准得0-1.9分，满分6分； ③组织实施方案：每完全满足一个评审标准得2分，未完全满足一个评审标准得0-1.9分，满分6分。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相关管理措施</w:t>
            </w:r>
          </w:p>
        </w:tc>
        <w:tc>
          <w:tcPr>
            <w:tcW w:type="dxa" w:w="2492"/>
          </w:tcPr>
          <w:p>
            <w:pPr>
              <w:pStyle w:val="null3"/>
            </w:pPr>
            <w:r>
              <w:rPr>
                <w:rFonts w:ascii="仿宋_GB2312" w:hAnsi="仿宋_GB2312" w:cs="仿宋_GB2312" w:eastAsia="仿宋_GB2312"/>
              </w:rPr>
              <w:t>一、评审内容 针对采购需求提出适用于本项目的措施方案，方案包括：①质量保证措施②进度控制措施③制度保障措施 二、评审标准 1、完整性：方案必须全面，对评审内容中的各项要求有详细描述； 2、可实施性：切合本项目实际情况，提出步骤清晰、合理的方案； 3、针对性：方案能够紧扣项目实际情况，内容科学合理。 三、赋分标准（满分12分） ①质量保证措施：每完全满足一个评审标准得2分，未完全满足一个评审标准得0-1.9分，满分6分； ②进度控制措施：每完全满足一个评审标准得1分，未完全满足一个评审标准得0-0.9分，满分3分；③制度保障措施：每完全满足一个评审标准得1分，未完全满足一个评审标准得0-0.9分，满分3分。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一、评审内容 针对本项目提出适用于本项目的保密方案，①保密管理制度②保密措施 二、评审标准 1、完整性：方案必须全面，对评审内容中的各项要求有详细描述； 2、可实施性：切合本项目实际情况， 提出步骤清晰、合理的方案； 3、 针对性：方案能够紧扣项目实际情况，内容科学合理。 三、赋分标准 （满分6分） ①保密管理制度：每完全满足一个评审标准得1分，不能完全满足一个评审标准要求综合赋分0-0.9分，满分3分； ②保密措施：每完全满足一个评审标准得1分，不能完全满足一个评审标准要求综合赋分0-0.9分，满分3分。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项目实施管理方案</w:t>
            </w:r>
          </w:p>
        </w:tc>
        <w:tc>
          <w:tcPr>
            <w:tcW w:type="dxa" w:w="2492"/>
          </w:tcPr>
          <w:p>
            <w:pPr>
              <w:pStyle w:val="null3"/>
            </w:pPr>
            <w:r>
              <w:rPr>
                <w:rFonts w:ascii="仿宋_GB2312" w:hAnsi="仿宋_GB2312" w:cs="仿宋_GB2312" w:eastAsia="仿宋_GB2312"/>
              </w:rPr>
              <w:t>一、评审内容 针对本项目提出适用于本项目的实施管理方案，方案包括：①拟投入的设备②成果提交 二、评审标准 1、完整性：方案必须全面，对评审内容中的各项要求有详细描述； 2、可实施性：切合本项目实际情况，提出步骤清晰、合理的方案； 3、针对性：方案能够紧扣项目实际情况，内容科学合理。 三、赋分标准（满分6分） ①拟投入的设备：每完全满足一个评审标准得1分，未完全满足一个评审标准得0-0.9分，满分3分； ②成果提交：每完全满足一个评审标准得1分，未完全满足一个评审标准得0-0.9分，满分3分。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服务承诺及应急管理</w:t>
            </w:r>
          </w:p>
        </w:tc>
        <w:tc>
          <w:tcPr>
            <w:tcW w:type="dxa" w:w="2492"/>
          </w:tcPr>
          <w:p>
            <w:pPr>
              <w:pStyle w:val="null3"/>
            </w:pPr>
            <w:r>
              <w:rPr>
                <w:rFonts w:ascii="仿宋_GB2312" w:hAnsi="仿宋_GB2312" w:cs="仿宋_GB2312" w:eastAsia="仿宋_GB2312"/>
              </w:rPr>
              <w:t>一、评审内容 针对本项目提出适用于本项目的服务方案，方案包括：①服务承诺②应急预案③应急保障措施 二、评审标准 1、完整性：方案必须全面，对评审内容中的各项要求有详细描述； 2、可实施性：切合本项目实际情况，提出步骤清晰、合理的方案； 3、针对性：方案能够紧扣项目实际情况，内容科学合理。 三、赋分标准（满分12分） ①服务承诺：每完全满足一个评审标准得2分，未完全满足一个评审标准得0-1.9分，满分6分； ②应急预案：每完全满足一个评审标准得1分，未完全满足一个评审标准得0-0.9分，满分3分； ③应急保障措施：每完全满足一个评审标准得1分，未完全满足一个评审标准得0-0.9分，满分3分。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1、项目负责人具有城市规划或地理信息系统类中级职称的得1分，高级职称的得2分。 2、供应商具有城市规划、测绘工程、土地管理、平面设计、计算机应用等方向人员人员，每提供1个得1分 , 最高得5分。 备注：提供相关证明资料及近6个月内缴纳社保证明复印件加盖公章。</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本项目拟投入人员汇总表.docx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对本项目服务工作中的常见问题进行梳理，具有良好的解决方案并及时向采购人提出合理化建议，每提供一条有效的建议得1分，满分1分。不提供不得分。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针对本项目提出适用于本项目的项目团队配置方案，包括：①团队人员各专业岗位配置②团队人员管理制度 二、评审标准 1、完整性：方案必须全面，对评审内容中的各项要求有详细描述； 2、可实施性：切合本项目实际情况，提出步骤清晰、合理的方案； 3 、针对性：方案能够紧扣项目实际情况，内容科学合理。 三、赋分标准（满分9分） ①团队人员各专业岗位配置：每完全满足一个评审标准得1.5分，未满足一个评审标准要求综合赋分0-1.4分，满分4.5分； ②团队人员管理制度：每完全满足一个评审标准得1.5分，未满足 一个评审标准要求综合赋分0-1.4分，满分4.5分。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自2022年1月1日至今类似项目业绩，以供应商提供的合同或中标（成交）通知书复印件（或扫描件）为准（日期以合同签订时间或中标（成交）通知书时间为准），每提供一份得2分，满分10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1.经初审合格的响应文件，其磋商响应报价为有效投标价。 2.有效最低报价为基准价得10分。 3.按（有效最低报价/有效投标报价）×10的公式计算其得分。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详见附件：本项目拟投入人员汇总表.docx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