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版本号：SXGS2025-ZC-02520251030001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西安城市消费品牌合作周暨提振消费年颁奖盛典</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SXGS2025-ZC-025</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西安城市消费品牌合作周暨提振消费年颁奖盛典</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西安城市消费品牌合作周暨提振消费年颁奖盛典</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城市消费品牌合作周暨提振消费年颁奖盛典，组织邀请重点商业品牌企业及我市限上商贸企业，搭建合作交流平台，开展行业发展论坛，进行行业新技术展示、新模式分享，助推西安消费品牌走出去，引导一线城市知名品牌走进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采购包1（西安城市消费品牌合作周暨提振消费年颁奖盛典）：属于专门面向中小企业采购。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的财务审计报告（至少包括资产负债表和利润表，成立时间至提交投标文件截止时间不足一年的可提供成立后任意时段的资产负债表）；或其开标前半年内基本存款账户开户银行出具的资信证明（出具基本存款账户信息）；</w:t>
      </w:r>
    </w:p>
    <w:p>
      <w:pPr>
        <w:pStyle w:val="null3"/>
      </w:pPr>
      <w:r>
        <w:rPr>
          <w:rFonts w:ascii="仿宋_GB2312" w:hAnsi="仿宋_GB2312" w:cs="仿宋_GB2312" w:eastAsia="仿宋_GB2312"/>
        </w:rPr>
        <w:t>3、税收缴纳证明：提供2024年10月至今已缴纳的任意1个月的纳税证明或完税证明，依法免税的单位应提供相关证明材料；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4、社会保障资金：提供2024年10月至今已缴纳的任意1个月的社会保障资金或社保机构开具的社会保险参保缴费情况证明，依法不需要缴纳社会保障资金的单位应提供相关证明材料；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身份证明：非法定代表人参加投标时，须提供法定代表人授权委托书（附法定代表人、被授权人身份证复印件）,被授权人身份证及被授权人在投标文件递交截止之日前在投标单位近3个月内任意一个月的社保证明；法定代表人直接参加磋商，须提供法定代表人身份证明；</w:t>
      </w:r>
    </w:p>
    <w:p>
      <w:pPr>
        <w:pStyle w:val="null3"/>
      </w:pPr>
      <w:r>
        <w:rPr>
          <w:rFonts w:ascii="仿宋_GB2312" w:hAnsi="仿宋_GB2312" w:cs="仿宋_GB2312" w:eastAsia="仿宋_GB2312"/>
        </w:rPr>
        <w:t>6、重大违法记录的书面声明：提供参加政府采购活动前3年内在经营活动中没有重大违法记录的书面声明（成立时间至提交响应文件截止时间不足三年的可提供成立至今的书面声明）;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7、承诺：提供具有履行合同所必需的设备和专业技术能力的承诺；</w:t>
      </w:r>
    </w:p>
    <w:p>
      <w:pPr>
        <w:pStyle w:val="null3"/>
      </w:pPr>
      <w:r>
        <w:rPr>
          <w:rFonts w:ascii="仿宋_GB2312" w:hAnsi="仿宋_GB2312" w:cs="仿宋_GB2312" w:eastAsia="仿宋_GB2312"/>
        </w:rPr>
        <w:t>8、信用中国：供应商不得为“信用中国(www.creditchina.gov.cn)”中列入失信被执行人和重大税收违法失信主体名单，不得为“中国政府采购网(www.ccgp.gov.cn)”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9、不接受联合体投标：本项目不接受联合体投标，单位负责人为同一人或者存在直接控股、管理关系的不同供应商，不得参加同一个政府采购活动；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城市消费品牌合作周暨提振消费年颁奖盛典，组织邀请重点商业品牌企业及我市限上商贸企业，搭建合作交流平台，开展行业发展论坛，进行行业新技术展示、新模式分享，助推西安消费品牌走出去，引导一线城市知名品牌走进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西安城市消费品牌合作周暨提振消费年颁奖盛典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标的名称：西安城市消费品牌合作周暨提振消费年颁奖盛典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西安城市消费品牌合作周暨提振消费年颁奖盛典，组织邀请重点商业品牌企业及我市限上商贸企业，搭建合作交流平台，开展行业发展论坛，进行行业新技术展示、新模式分享，助推西安消费品牌走出去，引导一线城市知名品牌走进来。</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、供应商应根据本项目情况，合理组建服务团队，在实施过程中，应根据实际情况随时调整服务团队人员，以保证服务质量。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、供应商应提前考察、选择适合举办“</w:t>
            </w:r>
            <w:r>
              <w:rPr>
                <w:rFonts w:ascii="仿宋_GB2312" w:hAnsi="仿宋_GB2312" w:cs="仿宋_GB2312" w:eastAsia="仿宋_GB2312"/>
                <w:sz w:val="21"/>
              </w:rPr>
              <w:t>第二届西安城市商业品牌合作发展大会</w:t>
            </w:r>
            <w:r>
              <w:rPr>
                <w:rFonts w:ascii="仿宋_GB2312" w:hAnsi="仿宋_GB2312" w:cs="仿宋_GB2312" w:eastAsia="仿宋_GB2312"/>
                <w:sz w:val="21"/>
              </w:rPr>
              <w:t>”的座谈场地及调研企业，活动场地和调研企业选定需具有地域知名度。</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w:t>
            </w:r>
            <w:r>
              <w:rPr>
                <w:rFonts w:ascii="仿宋_GB2312" w:hAnsi="仿宋_GB2312" w:cs="仿宋_GB2312" w:eastAsia="仿宋_GB2312"/>
                <w:sz w:val="21"/>
              </w:rPr>
              <w:t>邀请全国性重点商业品牌企业、我市限上商贸企业、商业综合体、家居家电卖场、品牌连锁店、品牌餐饮店、电商平台、汽车销售企业、加油站、中小微商贸企业参与活动，保障活动的参与度。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提供完整的策划方案，邀请知名新消费品牌主理人、行业专家及投资者参与座谈讨论，分享品牌成长经验；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活动方式多样，以多元化形式组织实施，搭建起一个高效、精准的品牌资源对接与产业链协作平台；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、颁奖盛典座位不少于</w:t>
            </w:r>
            <w:r>
              <w:rPr>
                <w:rFonts w:ascii="仿宋_GB2312" w:hAnsi="仿宋_GB2312" w:cs="仿宋_GB2312" w:eastAsia="仿宋_GB2312"/>
                <w:sz w:val="21"/>
              </w:rPr>
              <w:t>300</w:t>
            </w:r>
            <w:r>
              <w:rPr>
                <w:rFonts w:ascii="仿宋_GB2312" w:hAnsi="仿宋_GB2312" w:cs="仿宋_GB2312" w:eastAsia="仿宋_GB2312"/>
                <w:sz w:val="21"/>
              </w:rPr>
              <w:t>席；</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联合外地</w:t>
            </w:r>
            <w:r>
              <w:rPr>
                <w:rFonts w:ascii="仿宋_GB2312" w:hAnsi="仿宋_GB2312" w:cs="仿宋_GB2312" w:eastAsia="仿宋_GB2312"/>
                <w:sz w:val="21"/>
              </w:rPr>
              <w:t>50</w:t>
            </w:r>
            <w:r>
              <w:rPr>
                <w:rFonts w:ascii="仿宋_GB2312" w:hAnsi="仿宋_GB2312" w:cs="仿宋_GB2312" w:eastAsia="仿宋_GB2312"/>
                <w:sz w:val="21"/>
              </w:rPr>
              <w:t>家以上知名品牌来西安交流合作，组织本地</w:t>
            </w:r>
            <w:r>
              <w:rPr>
                <w:rFonts w:ascii="仿宋_GB2312" w:hAnsi="仿宋_GB2312" w:cs="仿宋_GB2312" w:eastAsia="仿宋_GB2312"/>
                <w:sz w:val="21"/>
              </w:rPr>
              <w:t>10</w:t>
            </w:r>
            <w:r>
              <w:rPr>
                <w:rFonts w:ascii="仿宋_GB2312" w:hAnsi="仿宋_GB2312" w:cs="仿宋_GB2312" w:eastAsia="仿宋_GB2312"/>
                <w:sz w:val="21"/>
              </w:rPr>
              <w:t>家以上品牌外出考察，同时推出多样化销售优惠举措，开展线上线下联动的品牌促销活动。</w:t>
            </w:r>
          </w:p>
          <w:p>
            <w:pPr>
              <w:pStyle w:val="null3"/>
              <w:jc w:val="both"/>
            </w:pPr>
            <w:r>
              <w:rPr>
                <w:rFonts w:ascii="仿宋_GB2312" w:hAnsi="仿宋_GB2312" w:cs="仿宋_GB2312" w:eastAsia="仿宋_GB2312"/>
                <w:sz w:val="21"/>
              </w:rPr>
              <w:t>三、技术要求</w:t>
            </w:r>
          </w:p>
          <w:p>
            <w:pPr>
              <w:pStyle w:val="null3"/>
              <w:jc w:val="both"/>
            </w:pPr>
            <w:r>
              <w:rPr>
                <w:rFonts w:ascii="仿宋_GB2312" w:hAnsi="仿宋_GB2312" w:cs="仿宋_GB2312" w:eastAsia="仿宋_GB2312"/>
                <w:sz w:val="21"/>
              </w:rPr>
              <w:t>本次活动所有搭建，相关物料制作，必须符合相关行业的标准，并做好本次活动纸质资料、影像资料的留存。</w:t>
            </w:r>
          </w:p>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、根据采购人要求编写本项目的整体策划方案；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、根据采购人要求搭建场地，现场、活动氛围布置符合活动主题；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、具有实施本项目的现场管理团队及相关设备；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、根据本项目实际情况配备安保及保洁人员；制定安全应急管理预案及管理机制。</w:t>
            </w:r>
          </w:p>
          <w:p>
            <w:pPr>
              <w:pStyle w:val="null3"/>
              <w:jc w:val="both"/>
            </w:pPr>
            <w:r>
              <w:rPr>
                <w:rFonts w:ascii="仿宋_GB2312" w:hAnsi="仿宋_GB2312" w:cs="仿宋_GB2312" w:eastAsia="仿宋_GB2312"/>
                <w:sz w:val="21"/>
              </w:rPr>
              <w:t>五、商务要求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签订合同之日起至项目结束</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10</w:t>
            </w:r>
            <w:r>
              <w:rPr>
                <w:rFonts w:ascii="仿宋_GB2312" w:hAnsi="仿宋_GB2312" w:cs="仿宋_GB2312" w:eastAsia="仿宋_GB2312"/>
                <w:sz w:val="21"/>
              </w:rPr>
              <w:t>个工作日支付合同总价款的</w:t>
            </w:r>
            <w:r>
              <w:rPr>
                <w:rFonts w:ascii="仿宋_GB2312" w:hAnsi="仿宋_GB2312" w:cs="仿宋_GB2312" w:eastAsia="仿宋_GB2312"/>
                <w:sz w:val="21"/>
              </w:rPr>
              <w:t>60%</w:t>
            </w:r>
            <w:r>
              <w:rPr>
                <w:rFonts w:ascii="仿宋_GB2312" w:hAnsi="仿宋_GB2312" w:cs="仿宋_GB2312" w:eastAsia="仿宋_GB2312"/>
                <w:sz w:val="21"/>
              </w:rPr>
              <w:t>，项目结束经甲方验收合格后，一次性付清余款。</w:t>
            </w:r>
          </w:p>
          <w:p>
            <w:pPr>
              <w:pStyle w:val="null3"/>
              <w:jc w:val="both"/>
            </w:pPr>
            <w:r>
              <w:rPr>
                <w:rFonts w:ascii="仿宋_GB2312" w:hAnsi="仿宋_GB2312" w:cs="仿宋_GB2312" w:eastAsia="仿宋_GB2312"/>
                <w:sz w:val="21"/>
              </w:rPr>
              <w:t>六、其他</w:t>
            </w:r>
          </w:p>
          <w:p>
            <w:pPr>
              <w:pStyle w:val="null3"/>
              <w:jc w:val="both"/>
            </w:pPr>
            <w:r>
              <w:rPr>
                <w:rFonts w:ascii="仿宋_GB2312" w:hAnsi="仿宋_GB2312" w:cs="仿宋_GB2312" w:eastAsia="仿宋_GB2312"/>
                <w:sz w:val="21"/>
              </w:rPr>
              <w:t>（一）对服务商的业绩要求</w:t>
            </w:r>
          </w:p>
          <w:p>
            <w:pPr>
              <w:pStyle w:val="null3"/>
              <w:jc w:val="both"/>
            </w:pPr>
            <w:r>
              <w:rPr>
                <w:rFonts w:ascii="仿宋_GB2312" w:hAnsi="仿宋_GB2312" w:cs="仿宋_GB2312" w:eastAsia="仿宋_GB2312"/>
                <w:sz w:val="21"/>
              </w:rPr>
              <w:t>类似项目业绩</w:t>
            </w:r>
          </w:p>
          <w:p>
            <w:pPr>
              <w:pStyle w:val="null3"/>
              <w:jc w:val="both"/>
            </w:pPr>
            <w:r>
              <w:rPr>
                <w:rFonts w:ascii="仿宋_GB2312" w:hAnsi="仿宋_GB2312" w:cs="仿宋_GB2312" w:eastAsia="仿宋_GB2312"/>
                <w:sz w:val="21"/>
              </w:rPr>
              <w:t>（二）进度要求</w:t>
            </w:r>
          </w:p>
          <w:p>
            <w:pPr>
              <w:pStyle w:val="null3"/>
              <w:jc w:val="both"/>
            </w:pPr>
            <w:r>
              <w:rPr>
                <w:rFonts w:ascii="仿宋_GB2312" w:hAnsi="仿宋_GB2312" w:cs="仿宋_GB2312" w:eastAsia="仿宋_GB2312"/>
                <w:sz w:val="21"/>
              </w:rPr>
              <w:t>按甲方进度要求组织。</w:t>
            </w:r>
          </w:p>
          <w:p>
            <w:pPr>
              <w:pStyle w:val="null3"/>
              <w:jc w:val="both"/>
            </w:pPr>
            <w:r>
              <w:rPr>
                <w:rFonts w:ascii="仿宋_GB2312" w:hAnsi="仿宋_GB2312" w:cs="仿宋_GB2312" w:eastAsia="仿宋_GB2312"/>
                <w:sz w:val="21"/>
              </w:rPr>
              <w:t>（三）成果交付要求</w:t>
            </w:r>
          </w:p>
          <w:p>
            <w:pPr>
              <w:pStyle w:val="null3"/>
              <w:jc w:val="both"/>
            </w:pPr>
            <w:r>
              <w:rPr>
                <w:rFonts w:ascii="仿宋_GB2312" w:hAnsi="仿宋_GB2312" w:cs="仿宋_GB2312" w:eastAsia="仿宋_GB2312"/>
                <w:sz w:val="21"/>
              </w:rPr>
              <w:t>需达到采购人对项目的具体要求。</w:t>
            </w:r>
          </w:p>
          <w:p>
            <w:pPr>
              <w:pStyle w:val="null3"/>
              <w:jc w:val="both"/>
            </w:pPr>
            <w:r>
              <w:rPr>
                <w:rFonts w:ascii="仿宋_GB2312" w:hAnsi="仿宋_GB2312" w:cs="仿宋_GB2312" w:eastAsia="仿宋_GB2312"/>
                <w:sz w:val="21"/>
              </w:rPr>
              <w:t>（四）质量验收标准或规范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、服务期满后按照成交供应商所提供的资料及数据进行验收；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、最终验收：自合同签订之日起至完成全部项目内容，需按照采购人确定的时间完成交付并验收合格，验收合格后，填写验收单。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、验收和评价方式</w:t>
            </w:r>
          </w:p>
          <w:p>
            <w:pPr>
              <w:pStyle w:val="null3"/>
              <w:jc w:val="both"/>
            </w:pPr>
            <w:r>
              <w:rPr>
                <w:rFonts w:ascii="仿宋_GB2312" w:hAnsi="仿宋_GB2312" w:cs="仿宋_GB2312" w:eastAsia="仿宋_GB2312"/>
                <w:sz w:val="21"/>
              </w:rPr>
              <w:t xml:space="preserve">3.1  </w:t>
            </w:r>
            <w:r>
              <w:rPr>
                <w:rFonts w:ascii="仿宋_GB2312" w:hAnsi="仿宋_GB2312" w:cs="仿宋_GB2312" w:eastAsia="仿宋_GB2312"/>
                <w:sz w:val="21"/>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若发现乙方有弄虚作假的，及在项目实施阶段故意或随意夸大服务，本项目合同解除，乙方赔偿甲方相应的损失。</w:t>
            </w:r>
          </w:p>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验收标准：按磋商文件、磋商响应文件等服务指标进行逐项验收，各项指标均应符合验收标准及要求。</w:t>
            </w:r>
          </w:p>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验收合格后，填写验收单，双方盖章、签字生效。</w:t>
            </w:r>
          </w:p>
          <w:p>
            <w:pPr>
              <w:pStyle w:val="null3"/>
              <w:jc w:val="both"/>
            </w:pPr>
            <w:r>
              <w:rPr>
                <w:rFonts w:ascii="仿宋_GB2312" w:hAnsi="仿宋_GB2312" w:cs="仿宋_GB2312" w:eastAsia="仿宋_GB2312"/>
                <w:sz w:val="21"/>
              </w:rPr>
              <w:t xml:space="preserve">3.5  </w:t>
            </w:r>
            <w:r>
              <w:rPr>
                <w:rFonts w:ascii="仿宋_GB2312" w:hAnsi="仿宋_GB2312" w:cs="仿宋_GB2312" w:eastAsia="仿宋_GB2312"/>
                <w:sz w:val="21"/>
              </w:rPr>
              <w:t>验收依据</w:t>
            </w:r>
          </w:p>
          <w:p>
            <w:pPr>
              <w:pStyle w:val="null3"/>
              <w:jc w:val="both"/>
            </w:pPr>
            <w:r>
              <w:rPr>
                <w:rFonts w:ascii="仿宋_GB2312" w:hAnsi="仿宋_GB2312" w:cs="仿宋_GB2312" w:eastAsia="仿宋_GB2312"/>
                <w:sz w:val="21"/>
              </w:rPr>
              <w:t xml:space="preserve">3.5.1  </w:t>
            </w:r>
            <w:r>
              <w:rPr>
                <w:rFonts w:ascii="仿宋_GB2312" w:hAnsi="仿宋_GB2312" w:cs="仿宋_GB2312" w:eastAsia="仿宋_GB2312"/>
                <w:sz w:val="21"/>
              </w:rPr>
              <w:t>合同文本。</w:t>
            </w:r>
          </w:p>
          <w:p>
            <w:pPr>
              <w:pStyle w:val="null3"/>
              <w:jc w:val="both"/>
            </w:pPr>
            <w:r>
              <w:rPr>
                <w:rFonts w:ascii="仿宋_GB2312" w:hAnsi="仿宋_GB2312" w:cs="仿宋_GB2312" w:eastAsia="仿宋_GB2312"/>
                <w:sz w:val="21"/>
              </w:rPr>
              <w:t xml:space="preserve">3.5.2  </w:t>
            </w:r>
            <w:r>
              <w:rPr>
                <w:rFonts w:ascii="仿宋_GB2312" w:hAnsi="仿宋_GB2312" w:cs="仿宋_GB2312" w:eastAsia="仿宋_GB2312"/>
                <w:sz w:val="21"/>
              </w:rPr>
              <w:t>磋商响应文件、磋商文件、澄清函。</w:t>
            </w:r>
          </w:p>
          <w:p>
            <w:pPr>
              <w:pStyle w:val="null3"/>
              <w:jc w:val="both"/>
            </w:pPr>
            <w:r>
              <w:rPr>
                <w:rFonts w:ascii="仿宋_GB2312" w:hAnsi="仿宋_GB2312" w:cs="仿宋_GB2312" w:eastAsia="仿宋_GB2312"/>
                <w:sz w:val="21"/>
              </w:rPr>
              <w:t xml:space="preserve">3.5.3  </w:t>
            </w:r>
            <w:r>
              <w:rPr>
                <w:rFonts w:ascii="仿宋_GB2312" w:hAnsi="仿宋_GB2312" w:cs="仿宋_GB2312" w:eastAsia="仿宋_GB2312"/>
                <w:sz w:val="21"/>
              </w:rPr>
              <w:t>国家和行业制定的相应的标准和规范。</w:t>
            </w:r>
          </w:p>
          <w:p>
            <w:pPr>
              <w:pStyle w:val="null3"/>
              <w:jc w:val="both"/>
            </w:pPr>
            <w:r>
              <w:rPr>
                <w:rFonts w:ascii="仿宋_GB2312" w:hAnsi="仿宋_GB2312" w:cs="仿宋_GB2312" w:eastAsia="仿宋_GB2312"/>
                <w:sz w:val="21"/>
              </w:rPr>
              <w:t>（五）违约责任</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、按《民法典》中的相关条款执行。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、由于“疫情”等不可抗力因素造成无法按照原计划提供服务，双方互不追究违约责任。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、如有异议另行协商。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3、由于“疫情”等不可抗力因素造成无法按照原计划提供服务，双方互不追究违约责任。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开标前半年内基本存款账户开户银行出具的资信证明（出具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提供2024年10月至今已缴纳的任意1个月的社会保障资金或社保机构开具的社会保险参保缴费情况证明，依法不需要缴纳社会保障资金的单位应提供相关证明材料；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非法定代表人参加投标时，须提供法定代表人授权委托书（附法定代表人、被授权人身份证复印件）,被授权人身份证及被授权人在投标文件递交截止之日前在投标单位近3个月内任意一个月的社保证明；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供应商不得为“信用中国(www.creditchina.gov.cn)”中列入失信被执行人和重大税收违法失信主体名单，不得为“中国政府采购网(www.ccgp.gov.cn)”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本项目不接受联合体投标，单位负责人为同一人或者存在直接控股、管理关系的不同供应商，不得参加同一个政府采购活动；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对本项目工作内容的认识理解程度（包括1.整体项目需求、2.项目理解、3.项目重难点分析）： ①对本项目理解深刻，分析正确、合理，得6-10分； ②对本项目基本理解，分析基本正确、合理，有1项缺项得3-5分； ③对本项目理解一般，重点、难点分析不全面，有2项或以上缺项得1-2分； 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整体活动策划方案、新技术展示、新模式分享,活动现场组织执行和管理等工作。（1.活动场地搭建、2.活动方式多样、3.活动氛围布置符合活动主题、4.调研企业选定、5.保障活动的参与度）材料设备配备齐全。①各项方案详细、内容全面、安排合理，得20-30分； ②总体方案有1项缺项，得11-19分； ③总体方案有2项缺项，得5-10分； ④总体方案3项或以上缺项或内容简略的，得1-4分； ⑤未提供本项不得分。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质量、进度保障措施</w:t>
            </w:r>
          </w:p>
        </w:tc>
        <w:tc>
          <w:tcPr>
            <w:tcW w:type="dxa" w:w="2492"/>
          </w:tcPr>
          <w:p>
            <w:pPr>
              <w:pStyle w:val="null3"/>
            </w:pPr>
            <w:r>
              <w:rPr>
                <w:rFonts w:ascii="仿宋_GB2312" w:hAnsi="仿宋_GB2312" w:cs="仿宋_GB2312" w:eastAsia="仿宋_GB2312"/>
              </w:rPr>
              <w:t>提供针对本项目的服务质量、进度进度保障措施，包含： 1.健全的质量控制体系、2.针对本项目的服务质量、进度把控方案、质量保证措施、3.质量进度目标无法实现时的认罚承诺、4.成果交付控制方案。（包括但不限于活动现场治安、消防、观众进退场等）。 针对本项目的质量、进度保障措施 ①方案措施详尽，完全满足采购人需求，能够保证服务质量，及时协调解决各类问题，得10-15分；②方案措施较全，基本满足采购人需求，保证服务质量，基本能协调解决各类问题，有1项缺项得5-9分； ③方案措施简略，部分满足采购人需求，保障措施，及协调解决各类问题的能力不强，有2项或以上缺项得1-4 分； ④未提供相关内容的不得分。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1.具有专业的执行团队、2.岗位职责制度、3.专业技术人员投入安排、4.专人现场协调对接落实活动各项具体事宜以保证服务质量（包括但不限于涵盖主持、礼仪、安保、保洁等人员配置），提供人员证明材料（不限于毕业证或学历证等相关证明材料复印件）。 ①团队架构完善，人员安排合理，相关证明文件齐全，完全符合项目要求，得6-10分； ②团队人员配置不明确、搭配不合理，相关证明文件有欠缺、不齐全，有1项缺项得3-5分； ③方案内容、人员配备严重欠缺，无法满足项目需求，有2项或以上缺项得1-2分；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制定合理、可行的各种突发情况（包含1.现场秩序调节、2.停电，断网、3.所提供的设备及材料出现质量问题等）的安全应急预案。 ①应急预案内容完善，应对措施全面、可行性强、考虑充分，得6-10分； ②应急预案内容基本完善，应对措施有一定可行性，考虑不足，有1项缺项或以上得1-5分； ③未提供的不得分。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1.具有完善的针对本项目的服务质量保证措施及方案、2.供应商对本项目服务方案的承诺及具体措施等作出承诺。严格按照相关技术规范和标准提供服务。①各部分内容全面详细、阐述条理清晰详尽、符合本项目采购需求的服务承诺，明确、合理得5分；条理不清晰、与项目内容不匹配、凭空编造、出现常识性错误、不可能实现的夸大情形、存在不适用项目实际情况，每出现1种扣1分，扣完为止；②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提供2022年10月01日至今类似项目业绩合同（以合同签订时间或中标通知书时间为准）每提供一份有效业绩得2分，最高得10分。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价格分统一采用低价优先法计算，即满足磋商文件要求且磋商价格最低的磋商报价为投标基准价，其价格分为满分。其他供应商的价格分统一按照下列公式计算： 磋商报价得分=(投标基准价／最终报价)×10 计算分数时四舍五入取小数点后两位 注：本项目专门面向中小企业，故不再进行价格分扣除。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