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版本号：SXDZ2025-ZC-CS03620251030001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新城区重点区域大气污染数据分析与预警项目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SXDZ2025-ZC-CS036</w:t>
      </w:r>
      <w:r>
        <w:br/>
      </w:r>
      <w:r>
        <w:br/>
      </w:r>
      <w:r>
        <w:br/>
      </w:r>
    </w:p>
    <w:p>
      <w:pPr>
        <w:pStyle w:val="null3"/>
        <w:jc w:val="center"/>
        <w:outlineLvl w:val="2"/>
      </w:pPr>
      <w:r>
        <w:rPr>
          <w:rFonts w:ascii="仿宋_GB2312" w:hAnsi="仿宋_GB2312" w:cs="仿宋_GB2312" w:eastAsia="仿宋_GB2312"/>
          <w:sz w:val="28"/>
          <w:b/>
        </w:rPr>
        <w:t>西安市生态环境局新城分局</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西安市生态环境局新城分局</w:t>
      </w:r>
      <w:r>
        <w:rPr>
          <w:rFonts w:ascii="仿宋_GB2312" w:hAnsi="仿宋_GB2312" w:cs="仿宋_GB2312" w:eastAsia="仿宋_GB2312"/>
        </w:rPr>
        <w:t>委托，拟对</w:t>
      </w:r>
      <w:r>
        <w:rPr>
          <w:rFonts w:ascii="仿宋_GB2312" w:hAnsi="仿宋_GB2312" w:cs="仿宋_GB2312" w:eastAsia="仿宋_GB2312"/>
        </w:rPr>
        <w:t>新城区重点区域大气污染数据分析与预警项目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新城区重点区域大气污染数据分析与预警项目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为新城区范围内重点扬尘工地、重点道路、渣土清运道路、重点污染源企业等重点扬尘源提供数据分析服务、超标预警分析服务。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采购包1（新城区重点区域大气污染数据分析与预警项目）：属于专门面向中小企业采购。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 ：响应供应商需提供有效合格的具有统一社会信用代码的营业执照，其他组织经营的须提供合法凭证，自然人提供身份证明文件。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 ：法定代表人参加投标的，须提供本人身份证加盖公章的复印件；法定代表人授权他人参加投标的，须提供法定代表人授权委托书及被授权代表的身份证复印件。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 ：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pPr>
        <w:pStyle w:val="null3"/>
      </w:pPr>
      <w:r>
        <w:rPr>
          <w:rFonts w:ascii="仿宋_GB2312" w:hAnsi="仿宋_GB2312" w:cs="仿宋_GB2312" w:eastAsia="仿宋_GB2312"/>
        </w:rPr>
        <w:t>4、社会保障资金缴纳证明 ：提供供应商2025年1月1日以来任意三个月已缴纳的社会保障资金缴存单据或社保机构开具的社会保险参保缴费情况证明；依法不需要缴纳社会保障资金的供应商应提供加盖公章的相关证明文件。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 ：提供供应商2025年1月1日以来任意三个月已缴纳的纳税证明或完税证明（至少包含增值税或企业所得税），依法免税的供应商应提供加盖公章的相关证明文件。</w:t>
      </w:r>
    </w:p>
    <w:p>
      <w:pPr>
        <w:pStyle w:val="null3"/>
      </w:pPr>
      <w:r>
        <w:rPr>
          <w:rFonts w:ascii="仿宋_GB2312" w:hAnsi="仿宋_GB2312" w:cs="仿宋_GB2312" w:eastAsia="仿宋_GB2312"/>
        </w:rPr>
        <w:t>6、履行合同能力的证明材料 ：具备履行合同所必需的设备和专业技术能力的证明材料(由供应商根据项目需求提供说明材料或者承诺)。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8、控股、管理关系 ：单位负责人为同一人或者存在直接控股、管理关系的不同供应商，不得参加本次采购活动。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西安市生态环境局新城分局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西安市长兴路9号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029-83212620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西安市大兴东路29号御笔城市广场（2号电梯）4层408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采购包1：673,100.00元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 企业名称：陕西东卓项目管理有限公司 开户银行：中国银行股份有限公司西安市经济技术开发区支行 账 号：102494375315 转账事由：（项目名称）代理服务费 咨询电话：029-86637322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西安市生态环境局新城分局</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西安市生态环境局新城分局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西安市生态环境局新城分局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地址：西安市大兴东路29号御笔城市广场（2号电梯）4层408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为新城区范围内重点扬尘工地、重点道路、渣土清运道路、重点污染源企业等重点扬尘源提供数据分析服务、超标预警分析服务。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673,100.00</w:t>
      </w:r>
    </w:p>
    <w:p>
      <w:pPr>
        <w:pStyle w:val="null3"/>
      </w:pPr>
      <w:r>
        <w:rPr>
          <w:rFonts w:ascii="仿宋_GB2312" w:hAnsi="仿宋_GB2312" w:cs="仿宋_GB2312" w:eastAsia="仿宋_GB2312"/>
        </w:rPr>
        <w:t>采购包最高限价（元）: 673,100.00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新城区重点区域大气污染数据分析与预警项目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673,100.00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标的名称：新城区重点区域大气污染数据分析与预警项目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为新城区范围内重点扬尘工地、重点道路、渣土清运道路、重点污染源企业等重点扬尘源提供数据</w:t>
            </w:r>
            <w:r>
              <w:rPr>
                <w:rFonts w:ascii="仿宋_GB2312" w:hAnsi="仿宋_GB2312" w:cs="仿宋_GB2312" w:eastAsia="仿宋_GB2312"/>
                <w:sz w:val="24"/>
              </w:rPr>
              <w:t>分析</w:t>
            </w:r>
            <w:r>
              <w:rPr>
                <w:rFonts w:ascii="仿宋_GB2312" w:hAnsi="仿宋_GB2312" w:cs="仿宋_GB2312" w:eastAsia="仿宋_GB2312"/>
                <w:sz w:val="24"/>
              </w:rPr>
              <w:t>服务、超标</w:t>
            </w:r>
            <w:r>
              <w:rPr>
                <w:rFonts w:ascii="仿宋_GB2312" w:hAnsi="仿宋_GB2312" w:cs="仿宋_GB2312" w:eastAsia="仿宋_GB2312"/>
                <w:sz w:val="24"/>
              </w:rPr>
              <w:t>预警</w:t>
            </w:r>
            <w:r>
              <w:rPr>
                <w:rFonts w:ascii="仿宋_GB2312" w:hAnsi="仿宋_GB2312" w:cs="仿宋_GB2312" w:eastAsia="仿宋_GB2312"/>
                <w:sz w:val="24"/>
              </w:rPr>
              <w:t>分析服务。</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1.数据服务</w:t>
            </w:r>
          </w:p>
          <w:p>
            <w:pPr>
              <w:pStyle w:val="null3"/>
              <w:ind w:firstLine="480"/>
              <w:jc w:val="both"/>
            </w:pPr>
            <w:r>
              <w:rPr>
                <w:rFonts w:ascii="仿宋_GB2312" w:hAnsi="仿宋_GB2312" w:cs="仿宋_GB2312" w:eastAsia="仿宋_GB2312"/>
                <w:sz w:val="24"/>
              </w:rPr>
              <w:t>结合全市数据针对辖区空气质量各指标数据进行实时动态更新，针对辖区优良天数及首要污染物类型进行实时监控，支持针对站点周边一定范围内的污染源数据进行空间分析，关联站点周边污染源信息，自动生成治污报告，并提供空气站、扬尘超标事件各报表的查询统计。</w:t>
            </w:r>
          </w:p>
          <w:p>
            <w:pPr>
              <w:pStyle w:val="null3"/>
              <w:ind w:firstLine="480"/>
              <w:jc w:val="both"/>
            </w:pPr>
            <w:r>
              <w:rPr>
                <w:rFonts w:ascii="仿宋_GB2312" w:hAnsi="仿宋_GB2312" w:cs="仿宋_GB2312" w:eastAsia="仿宋_GB2312"/>
                <w:sz w:val="24"/>
              </w:rPr>
              <w:t>2.预警服务</w:t>
            </w:r>
          </w:p>
          <w:p>
            <w:pPr>
              <w:pStyle w:val="null3"/>
              <w:ind w:firstLine="480"/>
              <w:jc w:val="both"/>
            </w:pPr>
            <w:r>
              <w:rPr>
                <w:rFonts w:ascii="仿宋_GB2312" w:hAnsi="仿宋_GB2312" w:cs="仿宋_GB2312" w:eastAsia="仿宋_GB2312"/>
                <w:sz w:val="24"/>
              </w:rPr>
              <w:t>建立新城区超标预警机制，根据市级管控要求的基础上，建立辖区提前预警体系，制定更加严格的告警机制，在不同环境下区分不同程度的告警，以国省市空气站监测的</w:t>
            </w:r>
            <w:r>
              <w:rPr>
                <w:rFonts w:ascii="仿宋_GB2312" w:hAnsi="仿宋_GB2312" w:cs="仿宋_GB2312" w:eastAsia="仿宋_GB2312"/>
                <w:sz w:val="24"/>
              </w:rPr>
              <w:t>PM10指标为依据建立新城区PM10指标背景值算法仓库，做到辖区扬尘源超标问题提前发现，及时联动各单位针对预警事件进行有效的的降尘措施。</w:t>
            </w:r>
          </w:p>
          <w:tbl>
            <w:tblPr>
              <w:tblBorders>
                <w:top w:val="none" w:color="000000" w:sz="4"/>
                <w:left w:val="none" w:color="000000" w:sz="4"/>
                <w:bottom w:val="none" w:color="000000" w:sz="4"/>
                <w:right w:val="none" w:color="000000" w:sz="4"/>
                <w:insideH w:val="none"/>
                <w:insideV w:val="none"/>
              </w:tblBorders>
            </w:tblPr>
            <w:tblGrid>
              <w:gridCol w:w="191"/>
              <w:gridCol w:w="300"/>
              <w:gridCol w:w="1865"/>
              <w:gridCol w:w="182"/>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服务类别</w:t>
                  </w:r>
                </w:p>
              </w:tc>
              <w:tc>
                <w:tcPr>
                  <w:tcW w:type="dxa" w:w="18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服务内容</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数据服务</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结合全市数据针对辖区空气质量各指标数据进行实时动态更新，针对辖区优良天数及首要污染物类型进行实时统计分析。</w:t>
                  </w:r>
                </w:p>
              </w:tc>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w:t>
                  </w: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提供优良天数展示、分析及统计，主要污染物占比分析等。</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提供辖区每日空气质量日历，</w:t>
                  </w:r>
                  <w:r>
                    <w:rPr>
                      <w:rFonts w:ascii="仿宋_GB2312" w:hAnsi="仿宋_GB2312" w:cs="仿宋_GB2312" w:eastAsia="仿宋_GB2312"/>
                      <w:sz w:val="24"/>
                      <w:color w:val="000000"/>
                    </w:rPr>
                    <w:t>AQI指数及首要污染物情况。</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提供国、省、市控站相关监测指标分析。</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提供站点监测指数实时排名统计。</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提供工地及道路实时监测。</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提供指挥调度或重点监管企业情况展示。</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针对国、省、市控站进行周边污染源点位关联分析及空间分析。</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提供街道站数据报表，实现月报、年报等数据分析</w:t>
                  </w:r>
                </w:p>
              </w:tc>
              <w:tc>
                <w:tcPr>
                  <w:tcW w:type="dxa" w:w="182"/>
                  <w:vMerge/>
                  <w:tcBorders>
                    <w:top w:val="none" w:color="000000" w:sz="4"/>
                    <w:left w:val="single" w:color="000000" w:sz="4"/>
                    <w:bottom w:val="single" w:color="000000" w:sz="4"/>
                    <w:right w:val="single" w:color="000000" w:sz="4"/>
                  </w:tcBorders>
                </w:tcP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预警分析服务</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建立新城区超标预警机制，根据市级管控要求的基础上，建立辖区提前预警体系，制定更加严格的告警机制，在不同环境下区分不同程度的告警，以国省市空气站监测的</w:t>
                  </w:r>
                  <w:r>
                    <w:rPr>
                      <w:rFonts w:ascii="仿宋_GB2312" w:hAnsi="仿宋_GB2312" w:cs="仿宋_GB2312" w:eastAsia="仿宋_GB2312"/>
                      <w:sz w:val="24"/>
                      <w:color w:val="000000"/>
                    </w:rPr>
                    <w:t>PM10指标为依据，做到辖区扬尘源超标问题提前发现，及时联动各单位针对预警事件进行有效的的降尘措施。</w:t>
                  </w:r>
                </w:p>
                <w:p>
                  <w:pPr>
                    <w:pStyle w:val="null3"/>
                    <w:jc w:val="left"/>
                  </w:pPr>
                  <w:r>
                    <w:rPr>
                      <w:rFonts w:ascii="仿宋_GB2312" w:hAnsi="仿宋_GB2312" w:cs="仿宋_GB2312" w:eastAsia="仿宋_GB2312"/>
                      <w:sz w:val="24"/>
                      <w:color w:val="000000"/>
                    </w:rPr>
                    <w:t>定期对辖区环境质量总体情况，环境污染趋势情况，管控成效等进行分析、总结，并结合全市及辖区已建成的基础监测设施成果针对辖区工地及重点道路提供人工研判污染成因溯源服务，并结合全市基础设施建设成果及辖区内建设情况提供污染源清单完善指导建议，为逐步推进污染源溯源做好扎实支撑，以及对相邻区县环境情况进行对比分析服务，定期提供相关汇报宣传材料。</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提供告警时段超标分析和超标各项数据统计及分析。</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提供各街道站的月报、年报等相关数据统计分析。</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针对辖区工地及重点道路提供人工研判污染成因追溯服务。</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12次/年对辖区环境质量总体情况、污染趋势、管控成效等进行分析、总结。</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4次/年对相邻区县进行比对分析服务。</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全年针对道路及工地超标进行问题处置及指导服务。</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根据辖区已有基础设施建设成果及污染源点位情况的各项数据提供前段设备选点建议服务。</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超标事件汇总及分析服务。</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数据问题探查服务。</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辖区告警任务实现平台下发，可分不同类型的告警任务。</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提供区县及街道的任务联动处置回复。</w:t>
                  </w:r>
                </w:p>
              </w:tc>
              <w:tc>
                <w:tcPr>
                  <w:tcW w:type="dxa" w:w="182"/>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实现专项任务分配、问题事件处置及分类调度。</w:t>
                  </w:r>
                </w:p>
              </w:tc>
              <w:tc>
                <w:tcPr>
                  <w:tcW w:type="dxa" w:w="182"/>
                  <w:vMerge/>
                  <w:tcBorders>
                    <w:top w:val="none" w:color="000000" w:sz="4"/>
                    <w:left w:val="single" w:color="000000" w:sz="4"/>
                    <w:bottom w:val="single" w:color="000000" w:sz="4"/>
                    <w:right w:val="single" w:color="000000" w:sz="4"/>
                  </w:tcBorders>
                </w:tcP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合同签订后，乙方开具相应金额发票，甲方收到发票后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项目运行6个月并通过采购人验收合格后，乙方开具相应金额发票，甲方收到发票后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2、请成交供应商在领取成交通知书时，向招标代理机构递交纸质版响应文件（纸质文件与线上评审电子文件保持一致）正本壹份、副本贰份，电子版响应文件（U盘）贰份。 3、根据《西安市财政局关于促进政府采购公平竞争优化营商环境的通知》市财函[2021]431号文第16条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sxdz20210508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提供供应商2025年1月1日以来任意三个月已缴纳的纳税证明或完税证明（至少包含增值税或企业所得税），依法免税的供应商应提供加盖公章的相关证明文件。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应符合磋商文件中签字、签章要求，且无遗漏</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服务方案.docx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 （9分）</w:t>
            </w:r>
          </w:p>
        </w:tc>
        <w:tc>
          <w:tcPr>
            <w:tcW w:type="dxa" w:w="2492"/>
          </w:tcPr>
          <w:p>
            <w:pPr>
              <w:pStyle w:val="null3"/>
            </w:pPr>
            <w:r>
              <w:rPr>
                <w:rFonts w:ascii="仿宋_GB2312" w:hAnsi="仿宋_GB2312" w:cs="仿宋_GB2312" w:eastAsia="仿宋_GB2312"/>
              </w:rPr>
              <w:t>一、评审内容 提出针对本项目的总体方案，内容包括①服务内容分析及目标②服务工作范围及工作方法③重难点分析及解决方案 二、评审标准 1、完整性：方案须全面，对评审内容中的各项要求有详细描述及说明； 2、可实施性：切合本项目实际情况，实施步骤清晰、合理； 3、针对性：方案能够紧扣项目实际情况，内容科学合理。 三、赋分标准（满分9分） ①服务内容分析及目标：每完全满足一项评审标准得1分，存在瑕疵得0.5分，满分3 分； ②服务工作范围及工作方法：每完全满足一项评审标准得1分，存在瑕疵得0.5分，满分3 分； ③重难点分析及解决方案：每完全满足一项评审标准得1分，存在瑕疵得0.5分，满分3 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 （12分）</w:t>
            </w:r>
          </w:p>
        </w:tc>
        <w:tc>
          <w:tcPr>
            <w:tcW w:type="dxa" w:w="2492"/>
          </w:tcPr>
          <w:p>
            <w:pPr>
              <w:pStyle w:val="null3"/>
            </w:pPr>
            <w:r>
              <w:rPr>
                <w:rFonts w:ascii="仿宋_GB2312" w:hAnsi="仿宋_GB2312" w:cs="仿宋_GB2312" w:eastAsia="仿宋_GB2312"/>
              </w:rPr>
              <w:t>一、评审内容 提出针对本项目的运维服务方案，包含①数据服务方案②预警服务方案 二、评审标准 1、完整性：方案须全面，对评审内容中的各项要求有详细描述及说明； 2、可实施性：切合本项目实际情况，实施步骤清晰、合理； 3、针对性：方案能够紧扣项目实际情况，内容科学合理。 三、赋分标准（满分12分） ①数据服务方案：每完全满足一项评审标准得2分，存在瑕疵得1分，满分6分； ②预警服务方案：每完全满足一项评审标准得2分，存在瑕疵得1分，满分6分。 瑕疵是指存在不完全满足评分标准，但项目仍可实施。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安全、保密、质量管理方案（9分）</w:t>
            </w:r>
          </w:p>
        </w:tc>
        <w:tc>
          <w:tcPr>
            <w:tcW w:type="dxa" w:w="2492"/>
          </w:tcPr>
          <w:p>
            <w:pPr>
              <w:pStyle w:val="null3"/>
            </w:pPr>
            <w:r>
              <w:rPr>
                <w:rFonts w:ascii="仿宋_GB2312" w:hAnsi="仿宋_GB2312" w:cs="仿宋_GB2312" w:eastAsia="仿宋_GB2312"/>
              </w:rPr>
              <w:t>一、评审内容 提出针对本项目的安全、保密、质量管理方案，包含①安全管理方案②保密管理方案③质量管理方案 二、评审标准 1、完整性：方案须全面，对评审内容中的各项要求有详细描述及说明； 2、可实施性：切合本项目实际情况，实施步骤清晰、合理； 3、针对性：方案能够紧扣项目实际情况，内容科学合理。 三、赋分标准（满分9分） ①安全管理方案：每完全满足一项评审标准得1分，存在瑕疵得0.5分，满分3分； ②保密管理方案：每完全满足一项评审标准得1分，存在瑕疵得0.5分，满分3分； ③质量管理方案：每完全满足一项评审标准得1分，存在瑕疵得0.5分，满分3分。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 （9分）</w:t>
            </w:r>
          </w:p>
        </w:tc>
        <w:tc>
          <w:tcPr>
            <w:tcW w:type="dxa" w:w="2492"/>
          </w:tcPr>
          <w:p>
            <w:pPr>
              <w:pStyle w:val="null3"/>
            </w:pPr>
            <w:r>
              <w:rPr>
                <w:rFonts w:ascii="仿宋_GB2312" w:hAnsi="仿宋_GB2312" w:cs="仿宋_GB2312" w:eastAsia="仿宋_GB2312"/>
              </w:rPr>
              <w:t>一、评审内容 提出针对本项目的应急保障服务方案，包含①系统故障应急预案②安全事件应急预案③数据故障应急预案 二、评审标准 1、完整性：方案须全面，对评审内容中的各项要求有详细描述及说明； 2、可实施性：切合本项目实际情况，实施步骤清晰、合理； 3、针对性：方案能够紧扣项目实际情况，内容科学合理。 三、赋分标准（满分9分） ①系统故障应急预案：每完全满足一项评审标准得1分，存在瑕疵得0.5分，满分3分； ②安全事件应急预案：每完全满足一项评审标准得1分，存在瑕疵得0.5分，满分3分； ③数据故障应急预案：每完全满足一项评审标准得1分，存在瑕疵得0.5分，满分3分。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项目进度计划及保障（8分）</w:t>
            </w:r>
          </w:p>
        </w:tc>
        <w:tc>
          <w:tcPr>
            <w:tcW w:type="dxa" w:w="2492"/>
          </w:tcPr>
          <w:p>
            <w:pPr>
              <w:pStyle w:val="null3"/>
            </w:pPr>
            <w:r>
              <w:rPr>
                <w:rFonts w:ascii="仿宋_GB2312" w:hAnsi="仿宋_GB2312" w:cs="仿宋_GB2312" w:eastAsia="仿宋_GB2312"/>
              </w:rPr>
              <w:t>提出针对本项目的进度计划安排及保障措施，根据供应商所描述计划的完整性、可实施性、针对性进行评审。 项目进度计划及保障同时满足完整性、可实施性、针对性三项评审标准的，得8分； 项目进度计划及保障的完整性、可实施性、针对性其中有一项评审标准有瑕疵，得6分； 项目进度计划及保障的完整性、可实施性、针对性其中有两项评审标准有瑕疵，得4分； 项目进度计划及保障的完整性、可实施性、针对性其中有三项评审标准均有瑕疵，得2分； 其他或未提供得不得分。 瑕疵是指存在不完全满足评分标准，但项目仍可实施。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人员培训方案（12分）</w:t>
            </w:r>
          </w:p>
        </w:tc>
        <w:tc>
          <w:tcPr>
            <w:tcW w:type="dxa" w:w="2492"/>
          </w:tcPr>
          <w:p>
            <w:pPr>
              <w:pStyle w:val="null3"/>
            </w:pPr>
            <w:r>
              <w:rPr>
                <w:rFonts w:ascii="仿宋_GB2312" w:hAnsi="仿宋_GB2312" w:cs="仿宋_GB2312" w:eastAsia="仿宋_GB2312"/>
              </w:rPr>
              <w:t>一、评审内容 提出针对本项目的人员培训方案，方案包含：①培训计划②培训效果检验方案 二、评审标准 1、完整性：方案须全面，对评审内容中的各项要求有详细描述及说明； 2、可实施性：切合本项目实际情况，实施步骤清晰、合理； 3、针对性：方案能够紧扣项目实际情况，内容科学合理。 三、赋分标准（满分12分） ①培训计划：每完全满足一个评审标准得2分，存在瑕疵得1分，满分6分； ②培训效果检验方案：每完全满足一个评审标准得2分，存在瑕疵得1分，满分6分。 瑕疵是指存在不完全满足评分标准，但项目仍可实施。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人员管理方案（9分）</w:t>
            </w:r>
          </w:p>
        </w:tc>
        <w:tc>
          <w:tcPr>
            <w:tcW w:type="dxa" w:w="2492"/>
          </w:tcPr>
          <w:p>
            <w:pPr>
              <w:pStyle w:val="null3"/>
            </w:pPr>
            <w:r>
              <w:rPr>
                <w:rFonts w:ascii="仿宋_GB2312" w:hAnsi="仿宋_GB2312" w:cs="仿宋_GB2312" w:eastAsia="仿宋_GB2312"/>
              </w:rPr>
              <w:t>一、评审内容 提出针对本项目的人员管理方案，方案包含： ①工作标准：具有岗位工作标准、服务质量标准 ②内控制度：问责机制、监督机制、自查制度 ③人员管理制度：具有员工日常管理办法、请销假制度、奖惩措施、激励机制。 二、评审标准 1、完整性：方案须全面，对评审内容中的各项要求有详细描述及说明； 2、可实施性：切合本项目实际情况，实施步骤清晰、合理； 3、针对性：方案能够紧扣项目实际情况，内容科学合理。 三、赋分标准（满分9分） ①工作标准：每完全满足一个评审标准得1分，存在瑕疵得0.5分，满分3分； ②内控制度：每完全满足一个评审标准得1分，存在瑕疵得0.5分，满分3分； ③人员管理制度：每完全满足一个评审标准得1分，存在瑕疵得0.5分，满分3分。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项目负责人（7分）</w:t>
            </w:r>
          </w:p>
        </w:tc>
        <w:tc>
          <w:tcPr>
            <w:tcW w:type="dxa" w:w="2492"/>
          </w:tcPr>
          <w:p>
            <w:pPr>
              <w:pStyle w:val="null3"/>
            </w:pPr>
            <w:r>
              <w:rPr>
                <w:rFonts w:ascii="仿宋_GB2312" w:hAnsi="仿宋_GB2312" w:cs="仿宋_GB2312" w:eastAsia="仿宋_GB2312"/>
              </w:rPr>
              <w:t>拟派项目负责人具有与本项目相关专业硕士及以上学历得2分；具有相关专业高级及以上职称的得3分；具有2022年1月1日以后类似项目业绩，每提供一个得1分，最高得2分。 以上人员须提供人员稳定在职证明（如劳动合同或社保缴纳证明）及投入本项目人员稳定性承诺（未经采购人同意，不随意更换项目团队成员），不提供不得分。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项目团队（6分）</w:t>
            </w:r>
          </w:p>
        </w:tc>
        <w:tc>
          <w:tcPr>
            <w:tcW w:type="dxa" w:w="2492"/>
          </w:tcPr>
          <w:p>
            <w:pPr>
              <w:pStyle w:val="null3"/>
            </w:pPr>
            <w:r>
              <w:rPr>
                <w:rFonts w:ascii="仿宋_GB2312" w:hAnsi="仿宋_GB2312" w:cs="仿宋_GB2312" w:eastAsia="仿宋_GB2312"/>
              </w:rPr>
              <w:t>提出针对本项目的人员管理方案，方案包含：①组织机构运行配备方案②专业服务团队人员的职能分工方案 二、评审标准 1、完整性：方案须全面，对评审内容中的各项要求有详细描述及说明； 2、可实施性：切合本项目实际情况，实施步骤清晰、合理； 3、针对性：方案能够紧扣项目实际情况，内容科学合理。 三、赋分标准（满分6分） ①组织机构运行配备方案：每完全满足一项评审标准得1分，存在瑕疵得0.5分，满分3分； ②专业服务团队人员的职能分工方案：每完全满足一个评审标准得1分，存在瑕疵得0.5分，满分3分。 瑕疵是指存在不完全满足评分标准，但项目仍可实施。 以上人员须提供人员稳定在职证明（如劳动合同或社保缴纳证明）及投入本项目人员稳定性承诺（未经采购人同意，不随意更换项目团队成员），不提供不得分。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 （9分）</w:t>
            </w:r>
          </w:p>
        </w:tc>
        <w:tc>
          <w:tcPr>
            <w:tcW w:type="dxa" w:w="2492"/>
          </w:tcPr>
          <w:p>
            <w:pPr>
              <w:pStyle w:val="null3"/>
            </w:pPr>
            <w:r>
              <w:rPr>
                <w:rFonts w:ascii="仿宋_GB2312" w:hAnsi="仿宋_GB2312" w:cs="仿宋_GB2312" w:eastAsia="仿宋_GB2312"/>
              </w:rPr>
              <w:t>具有2022年1月1日以后类似项目业绩，每提供一个业绩得3分，满分9分。 注：以合同或中标通知书复印件加盖公章为依据。</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