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F20A3">
      <w:pPr>
        <w:keepNext w:val="0"/>
        <w:keepLines w:val="0"/>
        <w:pageBreakBefore w:val="0"/>
        <w:widowControl w:val="0"/>
        <w:numPr>
          <w:ilvl w:val="0"/>
          <w:numId w:val="0"/>
        </w:numPr>
        <w:kinsoku/>
        <w:wordWrap/>
        <w:overflowPunct/>
        <w:topLinePunct w:val="0"/>
        <w:autoSpaceDE w:val="0"/>
        <w:autoSpaceDN w:val="0"/>
        <w:bidi w:val="0"/>
        <w:adjustRightInd w:val="0"/>
        <w:snapToGrid w:val="0"/>
        <w:spacing w:before="0" w:line="480" w:lineRule="auto"/>
        <w:ind w:right="0" w:rightChars="0"/>
        <w:jc w:val="center"/>
        <w:textAlignment w:val="auto"/>
        <w:outlineLvl w:val="0"/>
        <w:rPr>
          <w:rFonts w:hint="eastAsia" w:ascii="宋体" w:hAnsi="宋体" w:eastAsia="宋体" w:cs="宋体"/>
          <w:b/>
          <w:bCs/>
          <w:color w:val="auto"/>
          <w:sz w:val="32"/>
          <w:szCs w:val="32"/>
          <w:highlight w:val="none"/>
          <w:lang w:val="en-US" w:eastAsia="zh-CN"/>
        </w:rPr>
      </w:pPr>
      <w:r>
        <w:rPr>
          <w:rFonts w:hint="eastAsia" w:ascii="宋体" w:hAnsi="宋体" w:cs="宋体"/>
          <w:b/>
          <w:bCs/>
          <w:color w:val="auto"/>
          <w:sz w:val="32"/>
          <w:szCs w:val="32"/>
          <w:highlight w:val="none"/>
          <w:lang w:val="en-US" w:eastAsia="zh-CN"/>
        </w:rPr>
        <w:t>合同参考格式</w:t>
      </w:r>
    </w:p>
    <w:p w14:paraId="102D8244">
      <w:pPr>
        <w:spacing w:after="0"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（注：本合同样本仅供参考，具体条款内容由采购人和成交供应商协商确定，但不得改变采购文件、响应文件、成交通知书等实质性内容。）</w:t>
      </w:r>
    </w:p>
    <w:p w14:paraId="3EE63908">
      <w:pPr>
        <w:spacing w:line="360" w:lineRule="auto"/>
        <w:ind w:firstLine="480" w:firstLineChars="200"/>
        <w:outlineLvl w:val="9"/>
        <w:rPr>
          <w:rFonts w:hint="eastAsia" w:ascii="宋体" w:hAnsi="宋体" w:eastAsia="宋体" w:cs="宋体"/>
          <w:sz w:val="24"/>
          <w:szCs w:val="24"/>
        </w:rPr>
      </w:pPr>
    </w:p>
    <w:p w14:paraId="12AFFD89">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甲方（采购人）：_____________</w:t>
      </w:r>
    </w:p>
    <w:p w14:paraId="5F3175CF">
      <w:pPr>
        <w:spacing w:line="360" w:lineRule="auto"/>
        <w:ind w:left="480" w:leftChars="200"/>
        <w:outlineLvl w:val="9"/>
        <w:rPr>
          <w:rFonts w:hint="eastAsia" w:ascii="宋体" w:hAnsi="宋体" w:eastAsia="宋体" w:cs="宋体"/>
          <w:sz w:val="24"/>
          <w:szCs w:val="24"/>
        </w:rPr>
      </w:pPr>
      <w:r>
        <w:rPr>
          <w:rFonts w:hint="eastAsia" w:ascii="宋体" w:hAnsi="宋体" w:eastAsia="宋体" w:cs="宋体"/>
          <w:sz w:val="24"/>
          <w:szCs w:val="24"/>
        </w:rPr>
        <w:t>甲方住所：___________________</w:t>
      </w:r>
    </w:p>
    <w:p w14:paraId="21604704">
      <w:pPr>
        <w:spacing w:line="360" w:lineRule="auto"/>
        <w:ind w:left="480" w:leftChars="200"/>
        <w:outlineLvl w:val="9"/>
        <w:rPr>
          <w:rFonts w:hint="eastAsia" w:ascii="宋体" w:hAnsi="宋体" w:eastAsia="宋体" w:cs="宋体"/>
          <w:sz w:val="24"/>
          <w:szCs w:val="24"/>
        </w:rPr>
      </w:pPr>
      <w:r>
        <w:rPr>
          <w:rFonts w:hint="eastAsia" w:ascii="宋体" w:hAnsi="宋体" w:eastAsia="宋体" w:cs="宋体"/>
          <w:sz w:val="24"/>
          <w:szCs w:val="24"/>
        </w:rPr>
        <w:t>乙方（中标供应商）：_________</w:t>
      </w:r>
    </w:p>
    <w:p w14:paraId="53412863">
      <w:pPr>
        <w:spacing w:line="360" w:lineRule="auto"/>
        <w:ind w:left="480" w:leftChars="200"/>
        <w:outlineLvl w:val="9"/>
        <w:rPr>
          <w:rFonts w:hint="eastAsia" w:ascii="宋体" w:hAnsi="宋体" w:eastAsia="宋体" w:cs="宋体"/>
          <w:sz w:val="24"/>
          <w:szCs w:val="24"/>
        </w:rPr>
      </w:pPr>
      <w:r>
        <w:rPr>
          <w:rFonts w:hint="eastAsia" w:ascii="宋体" w:hAnsi="宋体" w:eastAsia="宋体" w:cs="宋体"/>
          <w:sz w:val="24"/>
          <w:szCs w:val="24"/>
        </w:rPr>
        <w:t>乙方住所：___________________</w:t>
      </w:r>
    </w:p>
    <w:p w14:paraId="03A92208">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根据《中华人民共和国政府采购法》及实施条例、《中华人民共和国民法典》等有关规定，为确保甲方采购项目的顺利实施，甲、乙双方在平等自愿原则下签订本合同，并共同遵守如下条款：</w:t>
      </w:r>
    </w:p>
    <w:p w14:paraId="5BFDEAFF">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第一条  项目基本情况</w:t>
      </w:r>
    </w:p>
    <w:p w14:paraId="2BE48C98">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1．采购标的：</w:t>
      </w:r>
    </w:p>
    <w:p w14:paraId="2F97C88E">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2．数量：</w:t>
      </w:r>
    </w:p>
    <w:p w14:paraId="0D214136">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第二条  履约期限、地点及方式</w:t>
      </w:r>
    </w:p>
    <w:p w14:paraId="462D38DE">
      <w:pPr>
        <w:spacing w:line="360" w:lineRule="auto"/>
        <w:ind w:firstLine="480" w:firstLineChars="200"/>
        <w:jc w:val="both"/>
        <w:outlineLvl w:val="9"/>
        <w:rPr>
          <w:rFonts w:hint="default" w:ascii="宋体" w:hAnsi="宋体" w:eastAsia="宋体" w:cs="宋体"/>
          <w:sz w:val="24"/>
          <w:szCs w:val="24"/>
          <w:highlight w:val="yellow"/>
          <w:lang w:val="en-US" w:eastAsia="zh-CN"/>
        </w:rPr>
      </w:pPr>
      <w:r>
        <w:rPr>
          <w:rFonts w:hint="eastAsia" w:ascii="宋体" w:hAnsi="宋体" w:eastAsia="宋体" w:cs="宋体"/>
          <w:sz w:val="24"/>
          <w:szCs w:val="24"/>
          <w:highlight w:val="none"/>
        </w:rPr>
        <w:t>1．履约期限：自签订合同之日起</w:t>
      </w:r>
      <w:r>
        <w:rPr>
          <w:rFonts w:hint="eastAsia" w:ascii="宋体" w:hAnsi="宋体" w:cs="宋体"/>
          <w:sz w:val="24"/>
          <w:szCs w:val="24"/>
          <w:highlight w:val="none"/>
          <w:lang w:val="en-US" w:eastAsia="zh-CN"/>
        </w:rPr>
        <w:t>1年</w:t>
      </w:r>
    </w:p>
    <w:p w14:paraId="46CC156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2．履约地点：</w:t>
      </w:r>
    </w:p>
    <w:p w14:paraId="332B24A7">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3．履约方式：</w:t>
      </w:r>
    </w:p>
    <w:p w14:paraId="67814A9E">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第三条  质量标准</w:t>
      </w:r>
    </w:p>
    <w:p w14:paraId="5C5E3DB1">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14:paraId="3492E0FE">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w:t>
      </w:r>
    </w:p>
    <w:p w14:paraId="13D78294">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第四条  合同价款及支付方式</w:t>
      </w:r>
    </w:p>
    <w:p w14:paraId="13A4F1AF">
      <w:pPr>
        <w:spacing w:line="360" w:lineRule="auto"/>
        <w:ind w:firstLine="480" w:firstLineChars="200"/>
        <w:jc w:val="both"/>
        <w:outlineLvl w:val="9"/>
        <w:rPr>
          <w:rFonts w:hint="eastAsia" w:ascii="宋体" w:hAnsi="宋体" w:eastAsia="宋体" w:cs="宋体"/>
          <w:sz w:val="24"/>
          <w:szCs w:val="24"/>
          <w:highlight w:val="none"/>
        </w:rPr>
      </w:pPr>
      <w:r>
        <w:rPr>
          <w:rFonts w:hint="eastAsia" w:ascii="宋体" w:hAnsi="宋体" w:eastAsia="宋体" w:cs="宋体"/>
          <w:sz w:val="24"/>
          <w:szCs w:val="24"/>
        </w:rPr>
        <w:t>1．合同</w:t>
      </w:r>
      <w:r>
        <w:rPr>
          <w:rFonts w:hint="eastAsia" w:ascii="宋体" w:hAnsi="宋体" w:eastAsia="宋体" w:cs="宋体"/>
          <w:sz w:val="24"/>
          <w:szCs w:val="24"/>
          <w:highlight w:val="none"/>
        </w:rPr>
        <w:t>价款包括：</w:t>
      </w:r>
    </w:p>
    <w:p w14:paraId="554DE7A4">
      <w:pPr>
        <w:spacing w:line="360" w:lineRule="auto"/>
        <w:ind w:firstLine="480" w:firstLineChars="200"/>
        <w:jc w:val="both"/>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2．支付方式：</w:t>
      </w:r>
    </w:p>
    <w:p w14:paraId="587E3491">
      <w:pPr>
        <w:spacing w:line="360" w:lineRule="auto"/>
        <w:ind w:firstLine="480" w:firstLineChars="200"/>
        <w:jc w:val="both"/>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（1）合同签订后，乙方开具相应金额发票，甲方收到发票后30日内支付第一笔款项，为总合同金额的50%；</w:t>
      </w:r>
    </w:p>
    <w:p w14:paraId="4B45ECF3">
      <w:pPr>
        <w:spacing w:line="360" w:lineRule="auto"/>
        <w:ind w:firstLine="480" w:firstLineChars="200"/>
        <w:jc w:val="both"/>
        <w:outlineLvl w:val="9"/>
        <w:rPr>
          <w:rFonts w:hint="eastAsia" w:ascii="宋体" w:hAnsi="宋体" w:eastAsia="宋体" w:cs="宋体"/>
          <w:sz w:val="24"/>
          <w:szCs w:val="24"/>
          <w:highlight w:val="yellow"/>
        </w:rPr>
      </w:pPr>
      <w:r>
        <w:rPr>
          <w:rFonts w:hint="eastAsia" w:ascii="宋体" w:hAnsi="宋体" w:eastAsia="宋体" w:cs="宋体"/>
          <w:sz w:val="24"/>
          <w:szCs w:val="24"/>
          <w:highlight w:val="none"/>
        </w:rPr>
        <w:t>（2）项目运行6个月并通过采购人验收合格后，乙方开具相应金额发票，甲方收到发票后30日内支付第二笔款项，为总合同金额的50%。</w:t>
      </w:r>
    </w:p>
    <w:p w14:paraId="1B8A8420">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3．结算方式：银行转账。</w:t>
      </w:r>
    </w:p>
    <w:p w14:paraId="6A46F163">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14:paraId="72364E5C">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第五条  验收标准及条件</w:t>
      </w:r>
    </w:p>
    <w:p w14:paraId="1B42A606">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1．初步验收：</w:t>
      </w:r>
    </w:p>
    <w:p w14:paraId="01D53EE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2．最终验收：</w:t>
      </w:r>
    </w:p>
    <w:p w14:paraId="1D81FDF1">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3．验收依据：</w:t>
      </w:r>
    </w:p>
    <w:p w14:paraId="0B2ED44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698A7EC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（2）本合同及附件文本；</w:t>
      </w:r>
    </w:p>
    <w:p w14:paraId="61251FC1">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13C7740F">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4．中标供应商应向采购人提交项目实施过程中的所有资料，以便采购人日后管理和维护。</w:t>
      </w:r>
    </w:p>
    <w:p w14:paraId="5B542D19">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第六条  知识产权（若有）</w:t>
      </w:r>
    </w:p>
    <w:p w14:paraId="7ABFA99E">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7CC6015D">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第七条  无产权瑕疵条款（若有）</w:t>
      </w:r>
    </w:p>
    <w:p w14:paraId="3A6B7E80">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02CA57FF">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第八条  双方的权利和义务</w:t>
      </w:r>
    </w:p>
    <w:p w14:paraId="5E1107E5">
      <w:pPr>
        <w:pStyle w:val="6"/>
        <w:spacing w:before="210" w:after="210" w:line="360" w:lineRule="auto"/>
        <w:ind w:firstLine="640"/>
        <w:outlineLvl w:val="9"/>
        <w:rPr>
          <w:rFonts w:hint="eastAsia" w:ascii="宋体" w:hAnsi="宋体" w:eastAsia="宋体" w:cs="宋体"/>
          <w:b w:val="0"/>
          <w:bCs w:val="0"/>
          <w:sz w:val="24"/>
          <w:szCs w:val="24"/>
        </w:rPr>
      </w:pPr>
      <w:r>
        <w:rPr>
          <w:rFonts w:hint="eastAsia" w:ascii="宋体" w:hAnsi="宋体" w:eastAsia="宋体" w:cs="宋体"/>
          <w:b w:val="0"/>
          <w:bCs w:val="0"/>
          <w:sz w:val="24"/>
          <w:szCs w:val="24"/>
        </w:rPr>
        <w:t>（一）甲方的权利和义务</w:t>
      </w:r>
    </w:p>
    <w:p w14:paraId="05BBB02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23A3CE88">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26EEDBB2">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4CCEC8BD">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391AF581">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14:paraId="6EE197A7">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14:paraId="0C8814BB">
      <w:pPr>
        <w:pStyle w:val="6"/>
        <w:spacing w:before="210" w:after="210" w:line="360" w:lineRule="auto"/>
        <w:ind w:firstLine="640"/>
        <w:outlineLvl w:val="9"/>
        <w:rPr>
          <w:rFonts w:hint="eastAsia" w:ascii="宋体" w:hAnsi="宋体" w:eastAsia="宋体" w:cs="宋体"/>
          <w:b w:val="0"/>
          <w:bCs w:val="0"/>
          <w:sz w:val="24"/>
          <w:szCs w:val="24"/>
        </w:rPr>
      </w:pPr>
      <w:r>
        <w:rPr>
          <w:rFonts w:hint="eastAsia" w:ascii="宋体" w:hAnsi="宋体" w:eastAsia="宋体" w:cs="宋体"/>
          <w:b w:val="0"/>
          <w:bCs w:val="0"/>
          <w:sz w:val="24"/>
          <w:szCs w:val="24"/>
        </w:rPr>
        <w:t>（二）乙方的权利和义务</w:t>
      </w:r>
    </w:p>
    <w:p w14:paraId="0895C864">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0DEAAF4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5275E5CC">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7B31621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432674A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3B1C4748">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九</w:t>
      </w:r>
      <w:r>
        <w:rPr>
          <w:rFonts w:hint="eastAsia" w:ascii="宋体" w:hAnsi="宋体" w:eastAsia="宋体" w:cs="宋体"/>
          <w:sz w:val="24"/>
          <w:szCs w:val="24"/>
        </w:rPr>
        <w:t>条  违约责任</w:t>
      </w:r>
    </w:p>
    <w:p w14:paraId="4EC976A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2BADB26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536B36E">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第十条  不可抗力事件处理</w:t>
      </w:r>
    </w:p>
    <w:p w14:paraId="27257DB2">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79A629C3">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06387F28">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14:paraId="132BEC05">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一</w:t>
      </w:r>
      <w:r>
        <w:rPr>
          <w:rFonts w:hint="eastAsia" w:ascii="宋体" w:hAnsi="宋体" w:eastAsia="宋体" w:cs="宋体"/>
          <w:sz w:val="24"/>
          <w:szCs w:val="24"/>
        </w:rPr>
        <w:t>条  合同的变更和终止</w:t>
      </w:r>
    </w:p>
    <w:p w14:paraId="2CF7053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0846ACBC">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二</w:t>
      </w:r>
      <w:r>
        <w:rPr>
          <w:rFonts w:hint="eastAsia" w:ascii="宋体" w:hAnsi="宋体" w:eastAsia="宋体" w:cs="宋体"/>
          <w:sz w:val="24"/>
          <w:szCs w:val="24"/>
        </w:rPr>
        <w:t>条  解决合同纠纷的方式</w:t>
      </w:r>
    </w:p>
    <w:p w14:paraId="4B8D958E">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14:paraId="0C49D935">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14:paraId="50F444F6">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（2）向西安仲裁委员会按其仲裁规则申请仲裁。</w:t>
      </w:r>
    </w:p>
    <w:p w14:paraId="270C14F7">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14:paraId="3118B0AA">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三</w:t>
      </w:r>
      <w:r>
        <w:rPr>
          <w:rFonts w:hint="eastAsia" w:ascii="宋体" w:hAnsi="宋体" w:eastAsia="宋体" w:cs="宋体"/>
          <w:sz w:val="24"/>
          <w:szCs w:val="24"/>
        </w:rPr>
        <w:t>条  合同生效及其他</w:t>
      </w:r>
    </w:p>
    <w:p w14:paraId="77D7FC1A">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14:paraId="4BE61BA2">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1A7C3094">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3．本合同一式</w:t>
      </w:r>
      <w:r>
        <w:rPr>
          <w:rFonts w:hint="eastAsia" w:ascii="宋体" w:hAnsi="宋体" w:eastAsia="宋体" w:cs="宋体"/>
          <w:sz w:val="24"/>
          <w:szCs w:val="24"/>
          <w:lang w:val="en-US" w:eastAsia="zh-CN"/>
        </w:rPr>
        <w:t>肆</w:t>
      </w:r>
      <w:r>
        <w:rPr>
          <w:rFonts w:hint="eastAsia" w:ascii="宋体" w:hAnsi="宋体" w:eastAsia="宋体" w:cs="宋体"/>
          <w:sz w:val="24"/>
          <w:szCs w:val="24"/>
        </w:rPr>
        <w:t>份，自双方签章之日起起效。甲方贰份，乙方贰份，具有同等法律效力。</w:t>
      </w:r>
    </w:p>
    <w:p w14:paraId="3846893B">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四</w:t>
      </w:r>
      <w:r>
        <w:rPr>
          <w:rFonts w:hint="eastAsia" w:ascii="宋体" w:hAnsi="宋体" w:eastAsia="宋体" w:cs="宋体"/>
          <w:sz w:val="24"/>
          <w:szCs w:val="24"/>
        </w:rPr>
        <w:t>条  附件</w:t>
      </w:r>
    </w:p>
    <w:p w14:paraId="60983C0F">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1．项目招标文件</w:t>
      </w:r>
    </w:p>
    <w:p w14:paraId="382794CD">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2．项目修改澄清文件</w:t>
      </w:r>
    </w:p>
    <w:p w14:paraId="23A79504">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3．项目投标文件</w:t>
      </w:r>
    </w:p>
    <w:p w14:paraId="1402EBDF">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4．成交通知书</w:t>
      </w:r>
    </w:p>
    <w:p w14:paraId="5AD89BDA">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5．其他</w:t>
      </w:r>
      <w:bookmarkStart w:id="0" w:name="_GoBack"/>
      <w:bookmarkEnd w:id="0"/>
    </w:p>
    <w:p w14:paraId="3E53E9EA">
      <w:pPr>
        <w:spacing w:line="360" w:lineRule="auto"/>
        <w:ind w:firstLine="480" w:firstLineChars="200"/>
        <w:jc w:val="both"/>
        <w:outlineLvl w:val="9"/>
        <w:rPr>
          <w:rFonts w:hint="eastAsia" w:ascii="宋体" w:hAnsi="宋体" w:eastAsia="宋体" w:cs="宋体"/>
          <w:sz w:val="24"/>
          <w:szCs w:val="24"/>
        </w:rPr>
      </w:pPr>
    </w:p>
    <w:p w14:paraId="0C43504E">
      <w:pPr>
        <w:spacing w:line="360" w:lineRule="auto"/>
        <w:jc w:val="both"/>
        <w:outlineLvl w:val="9"/>
        <w:rPr>
          <w:rFonts w:hint="eastAsia" w:ascii="宋体" w:hAnsi="宋体" w:eastAsia="宋体" w:cs="宋体"/>
          <w:sz w:val="24"/>
          <w:szCs w:val="24"/>
        </w:rPr>
      </w:pPr>
    </w:p>
    <w:tbl>
      <w:tblPr>
        <w:tblStyle w:val="4"/>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7"/>
        <w:gridCol w:w="1917"/>
        <w:gridCol w:w="2388"/>
        <w:gridCol w:w="2046"/>
      </w:tblGrid>
      <w:tr w14:paraId="33F6B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44B44791">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甲方（盖章）：</w:t>
            </w:r>
          </w:p>
        </w:tc>
        <w:tc>
          <w:tcPr>
            <w:tcW w:w="1917" w:type="dxa"/>
            <w:noWrap w:val="0"/>
            <w:vAlign w:val="center"/>
          </w:tcPr>
          <w:p w14:paraId="4AF7EFDF">
            <w:pPr>
              <w:spacing w:line="360" w:lineRule="auto"/>
              <w:jc w:val="center"/>
              <w:outlineLvl w:val="9"/>
              <w:rPr>
                <w:rFonts w:hint="eastAsia" w:ascii="宋体" w:hAnsi="宋体" w:eastAsia="宋体" w:cs="宋体"/>
                <w:sz w:val="24"/>
                <w:szCs w:val="24"/>
              </w:rPr>
            </w:pPr>
          </w:p>
        </w:tc>
        <w:tc>
          <w:tcPr>
            <w:tcW w:w="2388" w:type="dxa"/>
            <w:noWrap w:val="0"/>
            <w:vAlign w:val="center"/>
          </w:tcPr>
          <w:p w14:paraId="6E5B0324">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乙方（盖章）：</w:t>
            </w:r>
          </w:p>
        </w:tc>
        <w:tc>
          <w:tcPr>
            <w:tcW w:w="2046" w:type="dxa"/>
            <w:noWrap w:val="0"/>
            <w:vAlign w:val="center"/>
          </w:tcPr>
          <w:p w14:paraId="0443AFA4">
            <w:pPr>
              <w:spacing w:line="360" w:lineRule="auto"/>
              <w:jc w:val="center"/>
              <w:outlineLvl w:val="9"/>
              <w:rPr>
                <w:rFonts w:hint="eastAsia" w:ascii="宋体" w:hAnsi="宋体" w:eastAsia="宋体" w:cs="宋体"/>
                <w:sz w:val="24"/>
                <w:szCs w:val="24"/>
              </w:rPr>
            </w:pPr>
          </w:p>
        </w:tc>
      </w:tr>
      <w:tr w14:paraId="770F9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0B5BEF3C">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法定代表人</w:t>
            </w:r>
          </w:p>
          <w:p w14:paraId="4F33275D">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（委托代理人）：</w:t>
            </w:r>
          </w:p>
        </w:tc>
        <w:tc>
          <w:tcPr>
            <w:tcW w:w="1917" w:type="dxa"/>
            <w:noWrap w:val="0"/>
            <w:vAlign w:val="center"/>
          </w:tcPr>
          <w:p w14:paraId="3210DA44">
            <w:pPr>
              <w:spacing w:line="360" w:lineRule="auto"/>
              <w:jc w:val="center"/>
              <w:outlineLvl w:val="9"/>
              <w:rPr>
                <w:rFonts w:hint="eastAsia" w:ascii="宋体" w:hAnsi="宋体" w:eastAsia="宋体" w:cs="宋体"/>
                <w:sz w:val="24"/>
                <w:szCs w:val="24"/>
              </w:rPr>
            </w:pPr>
          </w:p>
        </w:tc>
        <w:tc>
          <w:tcPr>
            <w:tcW w:w="2388" w:type="dxa"/>
            <w:noWrap w:val="0"/>
            <w:vAlign w:val="center"/>
          </w:tcPr>
          <w:p w14:paraId="6D7D3EE0">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法定代表人</w:t>
            </w:r>
          </w:p>
          <w:p w14:paraId="44FFB364">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（委托代理人）：</w:t>
            </w:r>
          </w:p>
        </w:tc>
        <w:tc>
          <w:tcPr>
            <w:tcW w:w="2046" w:type="dxa"/>
            <w:noWrap w:val="0"/>
            <w:vAlign w:val="center"/>
          </w:tcPr>
          <w:p w14:paraId="6D428251">
            <w:pPr>
              <w:spacing w:line="360" w:lineRule="auto"/>
              <w:jc w:val="center"/>
              <w:outlineLvl w:val="9"/>
              <w:rPr>
                <w:rFonts w:hint="eastAsia" w:ascii="宋体" w:hAnsi="宋体" w:eastAsia="宋体" w:cs="宋体"/>
                <w:sz w:val="24"/>
                <w:szCs w:val="24"/>
              </w:rPr>
            </w:pPr>
          </w:p>
        </w:tc>
      </w:tr>
      <w:tr w14:paraId="3802C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5B87ED18">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地    址：</w:t>
            </w:r>
          </w:p>
        </w:tc>
        <w:tc>
          <w:tcPr>
            <w:tcW w:w="1917" w:type="dxa"/>
            <w:noWrap w:val="0"/>
            <w:vAlign w:val="center"/>
          </w:tcPr>
          <w:p w14:paraId="14783D3D">
            <w:pPr>
              <w:spacing w:line="360" w:lineRule="auto"/>
              <w:jc w:val="center"/>
              <w:outlineLvl w:val="9"/>
              <w:rPr>
                <w:rFonts w:hint="eastAsia" w:ascii="宋体" w:hAnsi="宋体" w:eastAsia="宋体" w:cs="宋体"/>
                <w:sz w:val="24"/>
                <w:szCs w:val="24"/>
              </w:rPr>
            </w:pPr>
          </w:p>
        </w:tc>
        <w:tc>
          <w:tcPr>
            <w:tcW w:w="2388" w:type="dxa"/>
            <w:noWrap w:val="0"/>
            <w:vAlign w:val="center"/>
          </w:tcPr>
          <w:p w14:paraId="3150503B">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地    址：</w:t>
            </w:r>
          </w:p>
        </w:tc>
        <w:tc>
          <w:tcPr>
            <w:tcW w:w="2046" w:type="dxa"/>
            <w:noWrap w:val="0"/>
            <w:vAlign w:val="center"/>
          </w:tcPr>
          <w:p w14:paraId="114EC9AA">
            <w:pPr>
              <w:spacing w:line="360" w:lineRule="auto"/>
              <w:jc w:val="center"/>
              <w:outlineLvl w:val="9"/>
              <w:rPr>
                <w:rFonts w:hint="eastAsia" w:ascii="宋体" w:hAnsi="宋体" w:eastAsia="宋体" w:cs="宋体"/>
                <w:sz w:val="24"/>
                <w:szCs w:val="24"/>
              </w:rPr>
            </w:pPr>
          </w:p>
        </w:tc>
      </w:tr>
      <w:tr w14:paraId="19B9F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4DD677DA">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开户银行：</w:t>
            </w:r>
          </w:p>
        </w:tc>
        <w:tc>
          <w:tcPr>
            <w:tcW w:w="1917" w:type="dxa"/>
            <w:noWrap w:val="0"/>
            <w:vAlign w:val="center"/>
          </w:tcPr>
          <w:p w14:paraId="2254990E">
            <w:pPr>
              <w:spacing w:line="360" w:lineRule="auto"/>
              <w:jc w:val="center"/>
              <w:outlineLvl w:val="9"/>
              <w:rPr>
                <w:rFonts w:hint="eastAsia" w:ascii="宋体" w:hAnsi="宋体" w:eastAsia="宋体" w:cs="宋体"/>
                <w:sz w:val="24"/>
                <w:szCs w:val="24"/>
              </w:rPr>
            </w:pPr>
          </w:p>
        </w:tc>
        <w:tc>
          <w:tcPr>
            <w:tcW w:w="2388" w:type="dxa"/>
            <w:noWrap w:val="0"/>
            <w:vAlign w:val="center"/>
          </w:tcPr>
          <w:p w14:paraId="4AAA9F61">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开户银行：</w:t>
            </w:r>
          </w:p>
        </w:tc>
        <w:tc>
          <w:tcPr>
            <w:tcW w:w="2046" w:type="dxa"/>
            <w:noWrap w:val="0"/>
            <w:vAlign w:val="center"/>
          </w:tcPr>
          <w:p w14:paraId="621E4E9C">
            <w:pPr>
              <w:spacing w:line="360" w:lineRule="auto"/>
              <w:jc w:val="center"/>
              <w:outlineLvl w:val="9"/>
              <w:rPr>
                <w:rFonts w:hint="eastAsia" w:ascii="宋体" w:hAnsi="宋体" w:eastAsia="宋体" w:cs="宋体"/>
                <w:sz w:val="24"/>
                <w:szCs w:val="24"/>
              </w:rPr>
            </w:pPr>
          </w:p>
        </w:tc>
      </w:tr>
      <w:tr w14:paraId="43D48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3ADCD404">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银行</w:t>
            </w:r>
            <w:r>
              <w:rPr>
                <w:rFonts w:hint="eastAsia" w:ascii="宋体" w:hAnsi="宋体" w:eastAsia="宋体" w:cs="宋体"/>
                <w:sz w:val="24"/>
                <w:szCs w:val="24"/>
                <w:lang w:val="en-US" w:eastAsia="zh-CN"/>
              </w:rPr>
              <w:t>账</w:t>
            </w:r>
            <w:r>
              <w:rPr>
                <w:rFonts w:hint="eastAsia" w:ascii="宋体" w:hAnsi="宋体" w:eastAsia="宋体" w:cs="宋体"/>
                <w:sz w:val="24"/>
                <w:szCs w:val="24"/>
              </w:rPr>
              <w:t>号：</w:t>
            </w:r>
          </w:p>
        </w:tc>
        <w:tc>
          <w:tcPr>
            <w:tcW w:w="1917" w:type="dxa"/>
            <w:noWrap w:val="0"/>
            <w:vAlign w:val="center"/>
          </w:tcPr>
          <w:p w14:paraId="67EF741D">
            <w:pPr>
              <w:spacing w:line="360" w:lineRule="auto"/>
              <w:jc w:val="center"/>
              <w:outlineLvl w:val="9"/>
              <w:rPr>
                <w:rFonts w:hint="eastAsia" w:ascii="宋体" w:hAnsi="宋体" w:eastAsia="宋体" w:cs="宋体"/>
                <w:sz w:val="24"/>
                <w:szCs w:val="24"/>
              </w:rPr>
            </w:pPr>
          </w:p>
        </w:tc>
        <w:tc>
          <w:tcPr>
            <w:tcW w:w="2388" w:type="dxa"/>
            <w:noWrap w:val="0"/>
            <w:vAlign w:val="center"/>
          </w:tcPr>
          <w:p w14:paraId="755AA2ED">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银行</w:t>
            </w:r>
            <w:r>
              <w:rPr>
                <w:rFonts w:hint="eastAsia" w:ascii="宋体" w:hAnsi="宋体" w:eastAsia="宋体" w:cs="宋体"/>
                <w:sz w:val="24"/>
                <w:szCs w:val="24"/>
                <w:lang w:val="en-US" w:eastAsia="zh-CN"/>
              </w:rPr>
              <w:t>账</w:t>
            </w:r>
            <w:r>
              <w:rPr>
                <w:rFonts w:hint="eastAsia" w:ascii="宋体" w:hAnsi="宋体" w:eastAsia="宋体" w:cs="宋体"/>
                <w:sz w:val="24"/>
                <w:szCs w:val="24"/>
              </w:rPr>
              <w:t>号：</w:t>
            </w:r>
          </w:p>
        </w:tc>
        <w:tc>
          <w:tcPr>
            <w:tcW w:w="2046" w:type="dxa"/>
            <w:noWrap w:val="0"/>
            <w:vAlign w:val="center"/>
          </w:tcPr>
          <w:p w14:paraId="58BBE8D6">
            <w:pPr>
              <w:spacing w:line="360" w:lineRule="auto"/>
              <w:jc w:val="center"/>
              <w:outlineLvl w:val="9"/>
              <w:rPr>
                <w:rFonts w:hint="eastAsia" w:ascii="宋体" w:hAnsi="宋体" w:eastAsia="宋体" w:cs="宋体"/>
                <w:sz w:val="24"/>
                <w:szCs w:val="24"/>
              </w:rPr>
            </w:pPr>
          </w:p>
        </w:tc>
      </w:tr>
      <w:tr w14:paraId="5751D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2BF6F8AD">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电    话：</w:t>
            </w:r>
          </w:p>
        </w:tc>
        <w:tc>
          <w:tcPr>
            <w:tcW w:w="1917" w:type="dxa"/>
            <w:noWrap w:val="0"/>
            <w:vAlign w:val="center"/>
          </w:tcPr>
          <w:p w14:paraId="1826FE34">
            <w:pPr>
              <w:spacing w:line="360" w:lineRule="auto"/>
              <w:jc w:val="center"/>
              <w:outlineLvl w:val="9"/>
              <w:rPr>
                <w:rFonts w:hint="eastAsia" w:ascii="宋体" w:hAnsi="宋体" w:eastAsia="宋体" w:cs="宋体"/>
                <w:sz w:val="24"/>
                <w:szCs w:val="24"/>
              </w:rPr>
            </w:pPr>
          </w:p>
        </w:tc>
        <w:tc>
          <w:tcPr>
            <w:tcW w:w="2388" w:type="dxa"/>
            <w:noWrap w:val="0"/>
            <w:vAlign w:val="center"/>
          </w:tcPr>
          <w:p w14:paraId="37F4BC2F">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电    话：</w:t>
            </w:r>
          </w:p>
        </w:tc>
        <w:tc>
          <w:tcPr>
            <w:tcW w:w="2046" w:type="dxa"/>
            <w:noWrap w:val="0"/>
            <w:vAlign w:val="center"/>
          </w:tcPr>
          <w:p w14:paraId="7AE061E3">
            <w:pPr>
              <w:spacing w:line="360" w:lineRule="auto"/>
              <w:jc w:val="center"/>
              <w:outlineLvl w:val="9"/>
              <w:rPr>
                <w:rFonts w:hint="eastAsia" w:ascii="宋体" w:hAnsi="宋体" w:eastAsia="宋体" w:cs="宋体"/>
                <w:sz w:val="24"/>
                <w:szCs w:val="24"/>
              </w:rPr>
            </w:pPr>
          </w:p>
        </w:tc>
      </w:tr>
      <w:tr w14:paraId="532A1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3765F8A2">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传    真：</w:t>
            </w:r>
          </w:p>
        </w:tc>
        <w:tc>
          <w:tcPr>
            <w:tcW w:w="1917" w:type="dxa"/>
            <w:noWrap w:val="0"/>
            <w:vAlign w:val="center"/>
          </w:tcPr>
          <w:p w14:paraId="2084BE93">
            <w:pPr>
              <w:spacing w:line="360" w:lineRule="auto"/>
              <w:jc w:val="center"/>
              <w:outlineLvl w:val="9"/>
              <w:rPr>
                <w:rFonts w:hint="eastAsia" w:ascii="宋体" w:hAnsi="宋体" w:eastAsia="宋体" w:cs="宋体"/>
                <w:sz w:val="24"/>
                <w:szCs w:val="24"/>
              </w:rPr>
            </w:pPr>
          </w:p>
        </w:tc>
        <w:tc>
          <w:tcPr>
            <w:tcW w:w="2388" w:type="dxa"/>
            <w:noWrap w:val="0"/>
            <w:vAlign w:val="center"/>
          </w:tcPr>
          <w:p w14:paraId="50A96AFB">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传    真：</w:t>
            </w:r>
          </w:p>
        </w:tc>
        <w:tc>
          <w:tcPr>
            <w:tcW w:w="2046" w:type="dxa"/>
            <w:noWrap w:val="0"/>
            <w:vAlign w:val="center"/>
          </w:tcPr>
          <w:p w14:paraId="686D1365">
            <w:pPr>
              <w:spacing w:line="360" w:lineRule="auto"/>
              <w:jc w:val="center"/>
              <w:outlineLvl w:val="9"/>
              <w:rPr>
                <w:rFonts w:hint="eastAsia" w:ascii="宋体" w:hAnsi="宋体" w:eastAsia="宋体" w:cs="宋体"/>
                <w:sz w:val="24"/>
                <w:szCs w:val="24"/>
              </w:rPr>
            </w:pPr>
          </w:p>
        </w:tc>
      </w:tr>
      <w:tr w14:paraId="70047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5D45E6F3">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签约日期：</w:t>
            </w:r>
          </w:p>
        </w:tc>
        <w:tc>
          <w:tcPr>
            <w:tcW w:w="1917" w:type="dxa"/>
            <w:noWrap w:val="0"/>
            <w:vAlign w:val="center"/>
          </w:tcPr>
          <w:p w14:paraId="7F589DBC">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年 月 日</w:t>
            </w:r>
          </w:p>
        </w:tc>
        <w:tc>
          <w:tcPr>
            <w:tcW w:w="2388" w:type="dxa"/>
            <w:noWrap w:val="0"/>
            <w:vAlign w:val="center"/>
          </w:tcPr>
          <w:p w14:paraId="6401F8FD">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签约日期：</w:t>
            </w:r>
          </w:p>
        </w:tc>
        <w:tc>
          <w:tcPr>
            <w:tcW w:w="2046" w:type="dxa"/>
            <w:noWrap w:val="0"/>
            <w:vAlign w:val="center"/>
          </w:tcPr>
          <w:p w14:paraId="6C592838">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年 月 日</w:t>
            </w:r>
          </w:p>
        </w:tc>
      </w:tr>
    </w:tbl>
    <w:p w14:paraId="29BD987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0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5810B5"/>
    <w:rsid w:val="7E581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te Heading"/>
    <w:basedOn w:val="1"/>
    <w:next w:val="1"/>
    <w:qFormat/>
    <w:uiPriority w:val="0"/>
    <w:pPr>
      <w:jc w:val="center"/>
    </w:pPr>
  </w:style>
  <w:style w:type="table" w:styleId="4">
    <w:name w:val="Table Grid"/>
    <w:basedOn w:val="3"/>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样式2"/>
    <w:basedOn w:val="7"/>
    <w:qFormat/>
    <w:uiPriority w:val="0"/>
    <w:pPr>
      <w:spacing w:line="560" w:lineRule="exact"/>
      <w:ind w:firstLine="643" w:firstLineChars="200"/>
      <w:jc w:val="both"/>
    </w:pPr>
    <w:rPr>
      <w:rFonts w:ascii="仿宋_GB2312" w:hAnsi="仿宋" w:eastAsia="仿宋_GB2312"/>
      <w:b/>
      <w:bCs/>
      <w:szCs w:val="32"/>
    </w:rPr>
  </w:style>
  <w:style w:type="paragraph" w:customStyle="1" w:styleId="7">
    <w:name w:val="@标题"/>
    <w:basedOn w:val="1"/>
    <w:next w:val="8"/>
    <w:qFormat/>
    <w:uiPriority w:val="0"/>
    <w:pPr>
      <w:keepNext/>
      <w:spacing w:before="50" w:beforeLines="50" w:after="50" w:afterLines="50"/>
      <w:jc w:val="center"/>
      <w:outlineLvl w:val="1"/>
    </w:pPr>
    <w:rPr>
      <w:rFonts w:ascii="Calibri" w:hAnsi="Calibri" w:eastAsia="黑体"/>
      <w:kern w:val="32"/>
      <w:sz w:val="32"/>
    </w:rPr>
  </w:style>
  <w:style w:type="paragraph" w:customStyle="1" w:styleId="8">
    <w:name w:val="@正文"/>
    <w:basedOn w:val="9"/>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9">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2025-10-30T03:22:00Z</dcterms:created>
  <dc:creator>傑。</dc:creator>
  <cp:lastModifiedBy>傑。</cp:lastModifiedBy>
  <dcterms:modified xsi:type="dcterms:W3CDTF">2025-10-30T03:22:32Z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4E1DE6441CDB49D88F595FC12C59D4C5_11</vt:lpwstr>
  </property>
  <property fmtid="{D5CDD505-2E9C-101B-9397-08002B2CF9AE}" pid="4" name="KSOTemplateDocerSaveRecord">
    <vt:lpwstr>eyJoZGlkIjoiMWYyM2ZiYWNjNzEyZWY3MmUwNjczNGRhMjYzNTQ4OWYiLCJ1c2VySWQiOiI2NDk3MDkwMjIifQ==</vt:lpwstr>
  </property>
</Properties>
</file>