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spacing w:line="360" w:lineRule="auto"/>
        <w:jc w:val="center"/>
        <w:rPr>
          <w:rFonts w:hint="eastAsia" w:ascii="仿宋" w:hAnsi="仿宋" w:eastAsia="仿宋" w:cs="仿宋"/>
          <w:b/>
          <w:bCs w:val="0"/>
          <w:color w:val="FF0000"/>
          <w:kern w:val="0"/>
          <w:sz w:val="36"/>
          <w:szCs w:val="36"/>
          <w:highlight w:val="none"/>
          <w:lang w:eastAsia="zh-CN"/>
        </w:rPr>
      </w:pPr>
      <w:r>
        <w:rPr>
          <w:rFonts w:hint="eastAsia" w:ascii="仿宋" w:hAnsi="仿宋" w:eastAsia="仿宋" w:cs="仿宋"/>
          <w:b/>
          <w:bCs w:val="0"/>
          <w:sz w:val="44"/>
          <w:szCs w:val="44"/>
          <w:highlight w:val="none"/>
        </w:rPr>
        <w:t>拟签订的合同文本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 注：本合同为示范文本，具体条款内容由甲方和乙方协商确定，但不得改变采购文件、响应文件、成交通知书里的实质性内容。）</w:t>
      </w:r>
    </w:p>
    <w:p>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sz w:val="21"/>
          <w:szCs w:val="21"/>
          <w:highlight w:val="none"/>
        </w:rPr>
      </w:pPr>
    </w:p>
    <w:p>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签订地点：</w:t>
      </w:r>
      <w:r>
        <w:rPr>
          <w:rFonts w:hint="eastAsia" w:ascii="仿宋" w:hAnsi="仿宋" w:eastAsia="仿宋" w:cs="仿宋"/>
          <w:color w:val="auto"/>
          <w:sz w:val="21"/>
          <w:szCs w:val="21"/>
          <w:highlight w:val="none"/>
          <w:u w:val="single"/>
          <w:lang w:val="en-US" w:eastAsia="zh-CN"/>
        </w:rPr>
        <w:t>西安市环城西路铁塔寺路3号</w:t>
      </w:r>
    </w:p>
    <w:p>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签订时间：</w:t>
      </w:r>
      <w:r>
        <w:rPr>
          <w:rFonts w:hint="eastAsia" w:ascii="仿宋" w:hAnsi="仿宋" w:eastAsia="仿宋" w:cs="仿宋"/>
          <w:color w:val="auto"/>
          <w:sz w:val="21"/>
          <w:szCs w:val="21"/>
          <w:highlight w:val="none"/>
          <w:u w:val="single"/>
          <w:lang w:val="en-US" w:eastAsia="zh-CN"/>
        </w:rPr>
        <w:t xml:space="preserve">                </w:t>
      </w:r>
    </w:p>
    <w:p>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采购人（甲方）：</w:t>
      </w:r>
      <w:r>
        <w:rPr>
          <w:rFonts w:hint="eastAsia" w:ascii="仿宋" w:hAnsi="仿宋" w:eastAsia="仿宋" w:cs="仿宋"/>
          <w:color w:val="auto"/>
          <w:sz w:val="21"/>
          <w:szCs w:val="21"/>
          <w:highlight w:val="none"/>
          <w:u w:val="single"/>
          <w:lang w:val="en-US" w:eastAsia="zh-CN"/>
        </w:rPr>
        <w:t>西安市第一中学</w:t>
      </w:r>
    </w:p>
    <w:p>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供应商（乙方）：</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rPr>
        <w:t>（</w:t>
      </w:r>
      <w:r>
        <w:rPr>
          <w:rFonts w:hint="eastAsia" w:ascii="仿宋" w:hAnsi="仿宋" w:eastAsia="仿宋" w:cs="仿宋"/>
          <w:color w:val="auto"/>
          <w:sz w:val="21"/>
          <w:szCs w:val="21"/>
          <w:highlight w:val="none"/>
          <w:lang w:val="en-US" w:eastAsia="zh-CN"/>
        </w:rPr>
        <w:t>成交</w:t>
      </w:r>
      <w:r>
        <w:rPr>
          <w:rFonts w:hint="eastAsia" w:ascii="仿宋" w:hAnsi="仿宋" w:eastAsia="仿宋" w:cs="仿宋"/>
          <w:color w:val="auto"/>
          <w:sz w:val="21"/>
          <w:szCs w:val="21"/>
          <w:highlight w:val="none"/>
        </w:rPr>
        <w:t>人）</w:t>
      </w:r>
    </w:p>
    <w:p>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根据《中华人民共和国政府采购法》及实施条例、《中华人民共和国民法典》和甲方</w:t>
      </w:r>
      <w:r>
        <w:rPr>
          <w:rFonts w:hint="eastAsia" w:ascii="仿宋" w:hAnsi="仿宋" w:eastAsia="仿宋" w:cs="仿宋"/>
          <w:color w:val="auto"/>
          <w:sz w:val="21"/>
          <w:szCs w:val="21"/>
          <w:highlight w:val="none"/>
          <w:u w:val="single"/>
          <w:lang w:val="en-US" w:eastAsia="zh-CN"/>
        </w:rPr>
        <w:t>西安市第一中学人工智能课堂观察设备及分析系统采购项目</w:t>
      </w:r>
      <w:r>
        <w:rPr>
          <w:rFonts w:hint="eastAsia" w:ascii="仿宋" w:hAnsi="仿宋" w:eastAsia="仿宋" w:cs="仿宋"/>
          <w:color w:val="auto"/>
          <w:kern w:val="0"/>
          <w:sz w:val="21"/>
          <w:szCs w:val="21"/>
          <w:lang w:val="en-US" w:eastAsia="zh-CN" w:bidi="ar-SA"/>
        </w:rPr>
        <w:t>（</w:t>
      </w:r>
      <w:r>
        <w:rPr>
          <w:rFonts w:hint="eastAsia" w:ascii="仿宋" w:hAnsi="仿宋" w:eastAsia="仿宋" w:cs="仿宋"/>
          <w:color w:val="auto"/>
          <w:sz w:val="21"/>
          <w:szCs w:val="21"/>
          <w:highlight w:val="none"/>
        </w:rPr>
        <w:t>项目编号：</w:t>
      </w:r>
      <w:r>
        <w:rPr>
          <w:rFonts w:hint="eastAsia" w:ascii="仿宋" w:hAnsi="仿宋" w:eastAsia="仿宋" w:cs="仿宋"/>
          <w:color w:val="auto"/>
          <w:sz w:val="21"/>
          <w:szCs w:val="21"/>
          <w:highlight w:val="none"/>
          <w:u w:val="single"/>
          <w:lang w:val="en-US" w:eastAsia="zh-CN"/>
        </w:rPr>
        <w:t>HZ-L20250012C</w:t>
      </w:r>
      <w:r>
        <w:rPr>
          <w:rFonts w:hint="eastAsia" w:ascii="仿宋" w:hAnsi="仿宋" w:eastAsia="仿宋" w:cs="仿宋"/>
          <w:color w:val="auto"/>
          <w:sz w:val="21"/>
          <w:szCs w:val="21"/>
          <w:highlight w:val="none"/>
        </w:rPr>
        <w:t>）的</w:t>
      </w:r>
      <w:r>
        <w:rPr>
          <w:rFonts w:hint="eastAsia" w:ascii="仿宋" w:hAnsi="仿宋" w:eastAsia="仿宋" w:cs="仿宋"/>
          <w:color w:val="auto"/>
          <w:sz w:val="21"/>
          <w:szCs w:val="21"/>
          <w:highlight w:val="none"/>
          <w:lang w:eastAsia="zh-CN"/>
        </w:rPr>
        <w:t>采购文件</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响应文件</w:t>
      </w:r>
      <w:r>
        <w:rPr>
          <w:rFonts w:hint="eastAsia" w:ascii="仿宋" w:hAnsi="仿宋" w:eastAsia="仿宋" w:cs="仿宋"/>
          <w:color w:val="auto"/>
          <w:sz w:val="21"/>
          <w:szCs w:val="21"/>
          <w:highlight w:val="none"/>
        </w:rPr>
        <w:t>等有关规定，为确保甲方采购项目的顺利实施，甲、乙双方在平等自愿原则下签订本合同，并共同遵守如下条款：</w:t>
      </w:r>
    </w:p>
    <w:p>
      <w:pPr>
        <w:pStyle w:val="14"/>
        <w:spacing w:line="360" w:lineRule="auto"/>
        <w:outlineLvl w:val="1"/>
        <w:rPr>
          <w:rFonts w:hint="eastAsia" w:ascii="仿宋" w:hAnsi="仿宋" w:eastAsia="仿宋" w:cs="仿宋"/>
          <w:b/>
          <w:color w:val="auto"/>
          <w:sz w:val="21"/>
          <w:szCs w:val="21"/>
          <w:highlight w:val="none"/>
        </w:rPr>
      </w:pPr>
      <w:bookmarkStart w:id="0" w:name="_Toc8686"/>
      <w:bookmarkStart w:id="1" w:name="_Toc18934"/>
      <w:bookmarkStart w:id="2" w:name="_Toc3373"/>
      <w:r>
        <w:rPr>
          <w:rFonts w:hint="eastAsia" w:ascii="仿宋" w:hAnsi="仿宋" w:eastAsia="仿宋" w:cs="仿宋"/>
          <w:b/>
          <w:color w:val="auto"/>
          <w:sz w:val="21"/>
          <w:szCs w:val="21"/>
          <w:highlight w:val="none"/>
        </w:rPr>
        <w:t>第一条 合同标的及数量</w:t>
      </w:r>
      <w:bookmarkEnd w:id="0"/>
      <w:bookmarkEnd w:id="1"/>
      <w:bookmarkEnd w:id="2"/>
    </w:p>
    <w:p>
      <w:pPr>
        <w:pStyle w:val="14"/>
        <w:spacing w:line="360" w:lineRule="auto"/>
        <w:ind w:firstLine="420" w:firstLineChars="200"/>
        <w:outlineLvl w:val="9"/>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rPr>
        <w:t>乙方向甲方提供下列货物（产品）</w:t>
      </w:r>
      <w:r>
        <w:rPr>
          <w:rFonts w:hint="eastAsia" w:ascii="仿宋" w:hAnsi="仿宋" w:eastAsia="仿宋" w:cs="仿宋"/>
          <w:color w:val="auto"/>
          <w:sz w:val="21"/>
          <w:szCs w:val="21"/>
          <w:highlight w:val="none"/>
          <w:lang w:val="en-US" w:eastAsia="zh-CN"/>
        </w:rPr>
        <w:t>及相关服务</w:t>
      </w:r>
      <w:r>
        <w:rPr>
          <w:rFonts w:hint="eastAsia" w:ascii="仿宋" w:hAnsi="仿宋" w:eastAsia="仿宋" w:cs="仿宋"/>
          <w:color w:val="auto"/>
          <w:sz w:val="21"/>
          <w:szCs w:val="21"/>
          <w:highlight w:val="none"/>
        </w:rPr>
        <w:t>：</w:t>
      </w:r>
    </w:p>
    <w:p>
      <w:pPr>
        <w:pStyle w:val="4"/>
        <w:spacing w:line="360" w:lineRule="auto"/>
        <w:ind w:firstLine="0"/>
        <w:jc w:val="center"/>
        <w:outlineLvl w:val="9"/>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货物（产品）及相关服务一览表</w:t>
      </w:r>
    </w:p>
    <w:tbl>
      <w:tblPr>
        <w:tblStyle w:val="12"/>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377"/>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pPr>
              <w:outlineLvl w:val="9"/>
              <w:rPr>
                <w:rFonts w:hint="eastAsia" w:ascii="仿宋" w:hAnsi="仿宋" w:eastAsia="仿宋" w:cs="仿宋"/>
                <w:color w:val="auto"/>
                <w:sz w:val="21"/>
                <w:szCs w:val="21"/>
                <w:highlight w:val="none"/>
              </w:rPr>
            </w:pPr>
            <w:bookmarkStart w:id="3" w:name="_Toc7471"/>
            <w:bookmarkStart w:id="4" w:name="_Toc1631"/>
            <w:bookmarkStart w:id="5" w:name="_Toc26294"/>
            <w:bookmarkStart w:id="6" w:name="_Toc31400"/>
            <w:bookmarkStart w:id="7" w:name="_Toc21343"/>
            <w:r>
              <w:rPr>
                <w:rFonts w:hint="eastAsia" w:ascii="仿宋" w:hAnsi="仿宋" w:eastAsia="仿宋" w:cs="仿宋"/>
                <w:color w:val="auto"/>
                <w:sz w:val="21"/>
                <w:szCs w:val="21"/>
                <w:highlight w:val="none"/>
              </w:rPr>
              <w:t>序号</w:t>
            </w:r>
            <w:bookmarkEnd w:id="3"/>
            <w:bookmarkEnd w:id="4"/>
            <w:bookmarkEnd w:id="5"/>
            <w:bookmarkEnd w:id="6"/>
            <w:bookmarkEnd w:id="7"/>
          </w:p>
        </w:tc>
        <w:tc>
          <w:tcPr>
            <w:tcW w:w="1461" w:type="dxa"/>
            <w:vAlign w:val="center"/>
          </w:tcPr>
          <w:p>
            <w:pPr>
              <w:jc w:val="center"/>
              <w:outlineLvl w:val="9"/>
              <w:rPr>
                <w:rFonts w:hint="eastAsia" w:ascii="仿宋" w:hAnsi="仿宋" w:eastAsia="仿宋" w:cs="仿宋"/>
                <w:color w:val="auto"/>
                <w:sz w:val="21"/>
                <w:szCs w:val="21"/>
                <w:highlight w:val="none"/>
              </w:rPr>
            </w:pPr>
            <w:bookmarkStart w:id="8" w:name="_Toc22389"/>
            <w:bookmarkStart w:id="9" w:name="_Toc678"/>
            <w:bookmarkStart w:id="10" w:name="_Toc23183"/>
            <w:bookmarkStart w:id="11" w:name="_Toc3968"/>
            <w:bookmarkStart w:id="12" w:name="_Toc6445"/>
            <w:r>
              <w:rPr>
                <w:rFonts w:hint="eastAsia" w:ascii="仿宋" w:hAnsi="仿宋" w:eastAsia="仿宋" w:cs="仿宋"/>
                <w:color w:val="auto"/>
                <w:sz w:val="21"/>
                <w:szCs w:val="21"/>
                <w:highlight w:val="none"/>
              </w:rPr>
              <w:t>名称</w:t>
            </w:r>
            <w:bookmarkEnd w:id="8"/>
            <w:bookmarkEnd w:id="9"/>
            <w:bookmarkEnd w:id="10"/>
            <w:bookmarkEnd w:id="11"/>
            <w:bookmarkEnd w:id="12"/>
          </w:p>
        </w:tc>
        <w:tc>
          <w:tcPr>
            <w:tcW w:w="1623" w:type="dxa"/>
            <w:vAlign w:val="center"/>
          </w:tcPr>
          <w:p>
            <w:pPr>
              <w:outlineLvl w:val="9"/>
              <w:rPr>
                <w:rFonts w:hint="eastAsia" w:ascii="仿宋" w:hAnsi="仿宋" w:eastAsia="仿宋" w:cs="仿宋"/>
                <w:color w:val="auto"/>
                <w:sz w:val="21"/>
                <w:szCs w:val="21"/>
                <w:highlight w:val="none"/>
              </w:rPr>
            </w:pPr>
            <w:bookmarkStart w:id="13" w:name="_Toc16370"/>
            <w:bookmarkStart w:id="14" w:name="_Toc5820"/>
            <w:bookmarkStart w:id="15" w:name="_Toc31540"/>
            <w:bookmarkStart w:id="16" w:name="_Toc13493"/>
            <w:bookmarkStart w:id="17" w:name="_Toc6213"/>
            <w:r>
              <w:rPr>
                <w:rFonts w:hint="eastAsia" w:ascii="仿宋" w:hAnsi="仿宋" w:eastAsia="仿宋" w:cs="仿宋"/>
                <w:color w:val="auto"/>
                <w:sz w:val="21"/>
                <w:szCs w:val="21"/>
                <w:highlight w:val="none"/>
              </w:rPr>
              <w:t>品牌/型号</w:t>
            </w:r>
            <w:bookmarkEnd w:id="13"/>
            <w:bookmarkEnd w:id="14"/>
            <w:bookmarkEnd w:id="15"/>
            <w:bookmarkEnd w:id="16"/>
            <w:bookmarkEnd w:id="17"/>
          </w:p>
        </w:tc>
        <w:tc>
          <w:tcPr>
            <w:tcW w:w="832" w:type="dxa"/>
            <w:vAlign w:val="center"/>
          </w:tcPr>
          <w:p>
            <w:pPr>
              <w:outlineLvl w:val="9"/>
              <w:rPr>
                <w:rFonts w:hint="eastAsia" w:ascii="仿宋" w:hAnsi="仿宋" w:eastAsia="仿宋" w:cs="仿宋"/>
                <w:color w:val="auto"/>
                <w:sz w:val="21"/>
                <w:szCs w:val="21"/>
                <w:highlight w:val="none"/>
              </w:rPr>
            </w:pPr>
            <w:bookmarkStart w:id="18" w:name="_Toc5177"/>
            <w:bookmarkStart w:id="19" w:name="_Toc15931"/>
            <w:bookmarkStart w:id="20" w:name="_Toc3931"/>
            <w:bookmarkStart w:id="21" w:name="_Toc21205"/>
            <w:bookmarkStart w:id="22" w:name="_Toc3362"/>
            <w:r>
              <w:rPr>
                <w:rFonts w:hint="eastAsia" w:ascii="仿宋" w:hAnsi="仿宋" w:eastAsia="仿宋" w:cs="仿宋"/>
                <w:color w:val="auto"/>
                <w:sz w:val="21"/>
                <w:szCs w:val="21"/>
                <w:highlight w:val="none"/>
              </w:rPr>
              <w:t>规格</w:t>
            </w:r>
            <w:bookmarkEnd w:id="18"/>
            <w:bookmarkEnd w:id="19"/>
            <w:bookmarkEnd w:id="20"/>
            <w:bookmarkEnd w:id="21"/>
            <w:bookmarkEnd w:id="22"/>
          </w:p>
        </w:tc>
        <w:tc>
          <w:tcPr>
            <w:tcW w:w="822" w:type="dxa"/>
            <w:vAlign w:val="center"/>
          </w:tcPr>
          <w:p>
            <w:pPr>
              <w:outlineLvl w:val="9"/>
              <w:rPr>
                <w:rFonts w:hint="eastAsia" w:ascii="仿宋" w:hAnsi="仿宋" w:eastAsia="仿宋" w:cs="仿宋"/>
                <w:color w:val="auto"/>
                <w:sz w:val="21"/>
                <w:szCs w:val="21"/>
                <w:highlight w:val="none"/>
              </w:rPr>
            </w:pPr>
            <w:bookmarkStart w:id="23" w:name="_Toc13801"/>
            <w:bookmarkStart w:id="24" w:name="_Toc16004"/>
            <w:bookmarkStart w:id="25" w:name="_Toc30791"/>
            <w:bookmarkStart w:id="26" w:name="_Toc8364"/>
            <w:bookmarkStart w:id="27" w:name="_Toc18669"/>
            <w:r>
              <w:rPr>
                <w:rFonts w:hint="eastAsia" w:ascii="仿宋" w:hAnsi="仿宋" w:eastAsia="仿宋" w:cs="仿宋"/>
                <w:color w:val="auto"/>
                <w:sz w:val="21"/>
                <w:szCs w:val="21"/>
                <w:highlight w:val="none"/>
              </w:rPr>
              <w:t>计量单位</w:t>
            </w:r>
            <w:bookmarkEnd w:id="23"/>
            <w:bookmarkEnd w:id="24"/>
            <w:bookmarkEnd w:id="25"/>
            <w:bookmarkEnd w:id="26"/>
            <w:bookmarkEnd w:id="27"/>
          </w:p>
        </w:tc>
        <w:tc>
          <w:tcPr>
            <w:tcW w:w="514" w:type="dxa"/>
            <w:vAlign w:val="center"/>
          </w:tcPr>
          <w:p>
            <w:pPr>
              <w:outlineLvl w:val="9"/>
              <w:rPr>
                <w:rFonts w:hint="eastAsia" w:ascii="仿宋" w:hAnsi="仿宋" w:eastAsia="仿宋" w:cs="仿宋"/>
                <w:color w:val="auto"/>
                <w:sz w:val="21"/>
                <w:szCs w:val="21"/>
                <w:highlight w:val="none"/>
              </w:rPr>
            </w:pPr>
            <w:bookmarkStart w:id="28" w:name="_Toc609"/>
            <w:bookmarkStart w:id="29" w:name="_Toc24569"/>
            <w:bookmarkStart w:id="30" w:name="_Toc19134"/>
            <w:bookmarkStart w:id="31" w:name="_Toc29871"/>
            <w:bookmarkStart w:id="32" w:name="_Toc9231"/>
            <w:r>
              <w:rPr>
                <w:rFonts w:hint="eastAsia" w:ascii="仿宋" w:hAnsi="仿宋" w:eastAsia="仿宋" w:cs="仿宋"/>
                <w:color w:val="auto"/>
                <w:sz w:val="21"/>
                <w:szCs w:val="21"/>
                <w:highlight w:val="none"/>
              </w:rPr>
              <w:t>数量</w:t>
            </w:r>
            <w:bookmarkEnd w:id="28"/>
            <w:bookmarkEnd w:id="29"/>
            <w:bookmarkEnd w:id="30"/>
            <w:bookmarkEnd w:id="31"/>
            <w:bookmarkEnd w:id="32"/>
          </w:p>
        </w:tc>
        <w:tc>
          <w:tcPr>
            <w:tcW w:w="1377" w:type="dxa"/>
            <w:vAlign w:val="center"/>
          </w:tcPr>
          <w:p>
            <w:pPr>
              <w:outlineLvl w:val="9"/>
              <w:rPr>
                <w:rFonts w:hint="eastAsia" w:ascii="仿宋" w:hAnsi="仿宋" w:eastAsia="仿宋" w:cs="仿宋"/>
                <w:color w:val="auto"/>
                <w:sz w:val="21"/>
                <w:szCs w:val="21"/>
                <w:highlight w:val="none"/>
              </w:rPr>
            </w:pPr>
            <w:bookmarkStart w:id="33" w:name="_Toc1373"/>
            <w:bookmarkStart w:id="34" w:name="_Toc5020"/>
            <w:bookmarkStart w:id="35" w:name="_Toc29589"/>
            <w:bookmarkStart w:id="36" w:name="_Toc23932"/>
            <w:bookmarkStart w:id="37" w:name="_Toc22269"/>
            <w:r>
              <w:rPr>
                <w:rFonts w:hint="eastAsia" w:ascii="仿宋" w:hAnsi="仿宋" w:eastAsia="仿宋" w:cs="仿宋"/>
                <w:color w:val="auto"/>
                <w:sz w:val="21"/>
                <w:szCs w:val="21"/>
                <w:highlight w:val="none"/>
                <w:lang w:val="en-US" w:eastAsia="zh-CN"/>
              </w:rPr>
              <w:t>单</w:t>
            </w:r>
            <w:r>
              <w:rPr>
                <w:rFonts w:hint="eastAsia" w:ascii="仿宋" w:hAnsi="仿宋" w:eastAsia="仿宋" w:cs="仿宋"/>
                <w:color w:val="auto"/>
                <w:sz w:val="21"/>
                <w:szCs w:val="21"/>
                <w:highlight w:val="none"/>
              </w:rPr>
              <w:t>价（元）</w:t>
            </w:r>
            <w:bookmarkEnd w:id="33"/>
            <w:bookmarkEnd w:id="34"/>
            <w:bookmarkEnd w:id="35"/>
            <w:bookmarkEnd w:id="36"/>
            <w:bookmarkEnd w:id="37"/>
          </w:p>
        </w:tc>
        <w:tc>
          <w:tcPr>
            <w:tcW w:w="1386" w:type="dxa"/>
            <w:vAlign w:val="center"/>
          </w:tcPr>
          <w:p>
            <w:pPr>
              <w:ind w:left="236" w:hanging="205" w:hangingChars="98"/>
              <w:outlineLvl w:val="9"/>
              <w:rPr>
                <w:rFonts w:hint="eastAsia" w:ascii="仿宋" w:hAnsi="仿宋" w:eastAsia="仿宋" w:cs="仿宋"/>
                <w:color w:val="auto"/>
                <w:sz w:val="21"/>
                <w:szCs w:val="21"/>
                <w:highlight w:val="none"/>
              </w:rPr>
            </w:pPr>
            <w:bookmarkStart w:id="38" w:name="_Toc23619"/>
            <w:bookmarkStart w:id="39" w:name="_Toc26062"/>
            <w:bookmarkStart w:id="40" w:name="_Toc14510"/>
            <w:bookmarkStart w:id="41" w:name="_Toc32579"/>
            <w:bookmarkStart w:id="42" w:name="_Toc17545"/>
            <w:r>
              <w:rPr>
                <w:rFonts w:hint="eastAsia" w:ascii="仿宋" w:hAnsi="仿宋" w:eastAsia="仿宋" w:cs="仿宋"/>
                <w:color w:val="auto"/>
                <w:sz w:val="21"/>
                <w:szCs w:val="21"/>
                <w:highlight w:val="none"/>
              </w:rPr>
              <w:t>金额 (元)</w:t>
            </w:r>
            <w:bookmarkEnd w:id="38"/>
            <w:bookmarkEnd w:id="39"/>
            <w:bookmarkEnd w:id="40"/>
            <w:bookmarkEnd w:id="41"/>
            <w:bookmarkEnd w:id="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1"/>
                <w:szCs w:val="21"/>
                <w:highlight w:val="none"/>
              </w:rPr>
            </w:pPr>
          </w:p>
        </w:tc>
        <w:tc>
          <w:tcPr>
            <w:tcW w:w="1461" w:type="dxa"/>
          </w:tcPr>
          <w:p>
            <w:pPr>
              <w:outlineLvl w:val="9"/>
              <w:rPr>
                <w:rFonts w:hint="eastAsia" w:ascii="仿宋" w:hAnsi="仿宋" w:eastAsia="仿宋" w:cs="仿宋"/>
                <w:color w:val="auto"/>
                <w:sz w:val="21"/>
                <w:szCs w:val="21"/>
                <w:highlight w:val="none"/>
              </w:rPr>
            </w:pPr>
          </w:p>
        </w:tc>
        <w:tc>
          <w:tcPr>
            <w:tcW w:w="1623" w:type="dxa"/>
          </w:tcPr>
          <w:p>
            <w:pPr>
              <w:outlineLvl w:val="9"/>
              <w:rPr>
                <w:rFonts w:hint="eastAsia" w:ascii="仿宋" w:hAnsi="仿宋" w:eastAsia="仿宋" w:cs="仿宋"/>
                <w:color w:val="auto"/>
                <w:sz w:val="21"/>
                <w:szCs w:val="21"/>
                <w:highlight w:val="none"/>
              </w:rPr>
            </w:pPr>
          </w:p>
        </w:tc>
        <w:tc>
          <w:tcPr>
            <w:tcW w:w="832" w:type="dxa"/>
          </w:tcPr>
          <w:p>
            <w:pPr>
              <w:outlineLvl w:val="9"/>
              <w:rPr>
                <w:rFonts w:hint="eastAsia" w:ascii="仿宋" w:hAnsi="仿宋" w:eastAsia="仿宋" w:cs="仿宋"/>
                <w:color w:val="auto"/>
                <w:sz w:val="21"/>
                <w:szCs w:val="21"/>
                <w:highlight w:val="none"/>
              </w:rPr>
            </w:pPr>
          </w:p>
        </w:tc>
        <w:tc>
          <w:tcPr>
            <w:tcW w:w="822" w:type="dxa"/>
          </w:tcPr>
          <w:p>
            <w:pPr>
              <w:outlineLvl w:val="9"/>
              <w:rPr>
                <w:rFonts w:hint="eastAsia" w:ascii="仿宋" w:hAnsi="仿宋" w:eastAsia="仿宋" w:cs="仿宋"/>
                <w:color w:val="auto"/>
                <w:sz w:val="21"/>
                <w:szCs w:val="21"/>
                <w:highlight w:val="none"/>
              </w:rPr>
            </w:pPr>
          </w:p>
        </w:tc>
        <w:tc>
          <w:tcPr>
            <w:tcW w:w="514" w:type="dxa"/>
          </w:tcPr>
          <w:p>
            <w:pPr>
              <w:outlineLvl w:val="9"/>
              <w:rPr>
                <w:rFonts w:hint="eastAsia" w:ascii="仿宋" w:hAnsi="仿宋" w:eastAsia="仿宋" w:cs="仿宋"/>
                <w:color w:val="auto"/>
                <w:sz w:val="21"/>
                <w:szCs w:val="21"/>
                <w:highlight w:val="none"/>
              </w:rPr>
            </w:pPr>
          </w:p>
        </w:tc>
        <w:tc>
          <w:tcPr>
            <w:tcW w:w="1377" w:type="dxa"/>
          </w:tcPr>
          <w:p>
            <w:pPr>
              <w:outlineLvl w:val="9"/>
              <w:rPr>
                <w:rFonts w:hint="eastAsia" w:ascii="仿宋" w:hAnsi="仿宋" w:eastAsia="仿宋" w:cs="仿宋"/>
                <w:color w:val="auto"/>
                <w:sz w:val="21"/>
                <w:szCs w:val="21"/>
                <w:highlight w:val="none"/>
              </w:rPr>
            </w:pPr>
          </w:p>
        </w:tc>
        <w:tc>
          <w:tcPr>
            <w:tcW w:w="1386" w:type="dxa"/>
          </w:tcPr>
          <w:p>
            <w:pPr>
              <w:outlineLvl w:val="9"/>
              <w:rPr>
                <w:rFonts w:hint="eastAsia"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1"/>
                <w:szCs w:val="21"/>
                <w:highlight w:val="none"/>
              </w:rPr>
            </w:pPr>
          </w:p>
        </w:tc>
        <w:tc>
          <w:tcPr>
            <w:tcW w:w="1461" w:type="dxa"/>
          </w:tcPr>
          <w:p>
            <w:pPr>
              <w:outlineLvl w:val="9"/>
              <w:rPr>
                <w:rFonts w:hint="eastAsia" w:ascii="仿宋" w:hAnsi="仿宋" w:eastAsia="仿宋" w:cs="仿宋"/>
                <w:color w:val="auto"/>
                <w:sz w:val="21"/>
                <w:szCs w:val="21"/>
                <w:highlight w:val="none"/>
              </w:rPr>
            </w:pPr>
          </w:p>
        </w:tc>
        <w:tc>
          <w:tcPr>
            <w:tcW w:w="1623" w:type="dxa"/>
          </w:tcPr>
          <w:p>
            <w:pPr>
              <w:outlineLvl w:val="9"/>
              <w:rPr>
                <w:rFonts w:hint="eastAsia" w:ascii="仿宋" w:hAnsi="仿宋" w:eastAsia="仿宋" w:cs="仿宋"/>
                <w:color w:val="auto"/>
                <w:sz w:val="21"/>
                <w:szCs w:val="21"/>
                <w:highlight w:val="none"/>
              </w:rPr>
            </w:pPr>
          </w:p>
        </w:tc>
        <w:tc>
          <w:tcPr>
            <w:tcW w:w="832" w:type="dxa"/>
          </w:tcPr>
          <w:p>
            <w:pPr>
              <w:outlineLvl w:val="9"/>
              <w:rPr>
                <w:rFonts w:hint="eastAsia" w:ascii="仿宋" w:hAnsi="仿宋" w:eastAsia="仿宋" w:cs="仿宋"/>
                <w:color w:val="auto"/>
                <w:sz w:val="21"/>
                <w:szCs w:val="21"/>
                <w:highlight w:val="none"/>
              </w:rPr>
            </w:pPr>
          </w:p>
        </w:tc>
        <w:tc>
          <w:tcPr>
            <w:tcW w:w="822" w:type="dxa"/>
          </w:tcPr>
          <w:p>
            <w:pPr>
              <w:outlineLvl w:val="9"/>
              <w:rPr>
                <w:rFonts w:hint="eastAsia" w:ascii="仿宋" w:hAnsi="仿宋" w:eastAsia="仿宋" w:cs="仿宋"/>
                <w:color w:val="auto"/>
                <w:sz w:val="21"/>
                <w:szCs w:val="21"/>
                <w:highlight w:val="none"/>
              </w:rPr>
            </w:pPr>
          </w:p>
        </w:tc>
        <w:tc>
          <w:tcPr>
            <w:tcW w:w="514" w:type="dxa"/>
          </w:tcPr>
          <w:p>
            <w:pPr>
              <w:outlineLvl w:val="9"/>
              <w:rPr>
                <w:rFonts w:hint="eastAsia" w:ascii="仿宋" w:hAnsi="仿宋" w:eastAsia="仿宋" w:cs="仿宋"/>
                <w:color w:val="auto"/>
                <w:sz w:val="21"/>
                <w:szCs w:val="21"/>
                <w:highlight w:val="none"/>
              </w:rPr>
            </w:pPr>
          </w:p>
        </w:tc>
        <w:tc>
          <w:tcPr>
            <w:tcW w:w="1377" w:type="dxa"/>
          </w:tcPr>
          <w:p>
            <w:pPr>
              <w:outlineLvl w:val="9"/>
              <w:rPr>
                <w:rFonts w:hint="eastAsia" w:ascii="仿宋" w:hAnsi="仿宋" w:eastAsia="仿宋" w:cs="仿宋"/>
                <w:color w:val="auto"/>
                <w:sz w:val="21"/>
                <w:szCs w:val="21"/>
                <w:highlight w:val="none"/>
              </w:rPr>
            </w:pPr>
          </w:p>
        </w:tc>
        <w:tc>
          <w:tcPr>
            <w:tcW w:w="1386" w:type="dxa"/>
          </w:tcPr>
          <w:p>
            <w:pPr>
              <w:outlineLvl w:val="9"/>
              <w:rPr>
                <w:rFonts w:hint="eastAsia"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1"/>
                <w:szCs w:val="21"/>
                <w:highlight w:val="none"/>
              </w:rPr>
            </w:pPr>
          </w:p>
        </w:tc>
        <w:tc>
          <w:tcPr>
            <w:tcW w:w="1461" w:type="dxa"/>
          </w:tcPr>
          <w:p>
            <w:pPr>
              <w:outlineLvl w:val="9"/>
              <w:rPr>
                <w:rFonts w:hint="eastAsia" w:ascii="仿宋" w:hAnsi="仿宋" w:eastAsia="仿宋" w:cs="仿宋"/>
                <w:color w:val="auto"/>
                <w:sz w:val="21"/>
                <w:szCs w:val="21"/>
                <w:highlight w:val="none"/>
              </w:rPr>
            </w:pPr>
          </w:p>
        </w:tc>
        <w:tc>
          <w:tcPr>
            <w:tcW w:w="1623" w:type="dxa"/>
          </w:tcPr>
          <w:p>
            <w:pPr>
              <w:outlineLvl w:val="9"/>
              <w:rPr>
                <w:rFonts w:hint="eastAsia" w:ascii="仿宋" w:hAnsi="仿宋" w:eastAsia="仿宋" w:cs="仿宋"/>
                <w:color w:val="auto"/>
                <w:sz w:val="21"/>
                <w:szCs w:val="21"/>
                <w:highlight w:val="none"/>
              </w:rPr>
            </w:pPr>
          </w:p>
        </w:tc>
        <w:tc>
          <w:tcPr>
            <w:tcW w:w="832" w:type="dxa"/>
          </w:tcPr>
          <w:p>
            <w:pPr>
              <w:outlineLvl w:val="9"/>
              <w:rPr>
                <w:rFonts w:hint="eastAsia" w:ascii="仿宋" w:hAnsi="仿宋" w:eastAsia="仿宋" w:cs="仿宋"/>
                <w:color w:val="auto"/>
                <w:sz w:val="21"/>
                <w:szCs w:val="21"/>
                <w:highlight w:val="none"/>
              </w:rPr>
            </w:pPr>
          </w:p>
        </w:tc>
        <w:tc>
          <w:tcPr>
            <w:tcW w:w="822" w:type="dxa"/>
          </w:tcPr>
          <w:p>
            <w:pPr>
              <w:outlineLvl w:val="9"/>
              <w:rPr>
                <w:rFonts w:hint="eastAsia" w:ascii="仿宋" w:hAnsi="仿宋" w:eastAsia="仿宋" w:cs="仿宋"/>
                <w:color w:val="auto"/>
                <w:sz w:val="21"/>
                <w:szCs w:val="21"/>
                <w:highlight w:val="none"/>
              </w:rPr>
            </w:pPr>
          </w:p>
        </w:tc>
        <w:tc>
          <w:tcPr>
            <w:tcW w:w="514" w:type="dxa"/>
          </w:tcPr>
          <w:p>
            <w:pPr>
              <w:outlineLvl w:val="9"/>
              <w:rPr>
                <w:rFonts w:hint="eastAsia" w:ascii="仿宋" w:hAnsi="仿宋" w:eastAsia="仿宋" w:cs="仿宋"/>
                <w:color w:val="auto"/>
                <w:sz w:val="21"/>
                <w:szCs w:val="21"/>
                <w:highlight w:val="none"/>
              </w:rPr>
            </w:pPr>
          </w:p>
        </w:tc>
        <w:tc>
          <w:tcPr>
            <w:tcW w:w="1377" w:type="dxa"/>
          </w:tcPr>
          <w:p>
            <w:pPr>
              <w:outlineLvl w:val="9"/>
              <w:rPr>
                <w:rFonts w:hint="eastAsia" w:ascii="仿宋" w:hAnsi="仿宋" w:eastAsia="仿宋" w:cs="仿宋"/>
                <w:color w:val="auto"/>
                <w:sz w:val="21"/>
                <w:szCs w:val="21"/>
                <w:highlight w:val="none"/>
              </w:rPr>
            </w:pPr>
          </w:p>
        </w:tc>
        <w:tc>
          <w:tcPr>
            <w:tcW w:w="1386" w:type="dxa"/>
          </w:tcPr>
          <w:p>
            <w:pPr>
              <w:outlineLvl w:val="9"/>
              <w:rPr>
                <w:rFonts w:hint="eastAsia"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pPr>
              <w:outlineLvl w:val="9"/>
              <w:rPr>
                <w:rFonts w:hint="eastAsia" w:ascii="仿宋" w:hAnsi="仿宋" w:eastAsia="仿宋" w:cs="仿宋"/>
                <w:color w:val="auto"/>
                <w:sz w:val="21"/>
                <w:szCs w:val="21"/>
                <w:highlight w:val="none"/>
              </w:rPr>
            </w:pPr>
            <w:bookmarkStart w:id="43" w:name="_Toc18746"/>
            <w:bookmarkStart w:id="44" w:name="_Toc16401"/>
            <w:bookmarkStart w:id="45" w:name="_Toc10934"/>
            <w:bookmarkStart w:id="46" w:name="_Toc15703"/>
            <w:bookmarkStart w:id="47" w:name="_Toc25107"/>
            <w:r>
              <w:rPr>
                <w:rFonts w:hint="eastAsia" w:ascii="仿宋" w:hAnsi="仿宋" w:eastAsia="仿宋" w:cs="仿宋"/>
                <w:color w:val="auto"/>
                <w:sz w:val="21"/>
                <w:szCs w:val="21"/>
                <w:highlight w:val="none"/>
              </w:rPr>
              <w:t>合计</w:t>
            </w:r>
            <w:bookmarkEnd w:id="43"/>
            <w:bookmarkEnd w:id="44"/>
            <w:bookmarkEnd w:id="45"/>
            <w:bookmarkEnd w:id="46"/>
            <w:bookmarkEnd w:id="47"/>
          </w:p>
        </w:tc>
        <w:tc>
          <w:tcPr>
            <w:tcW w:w="4931" w:type="dxa"/>
            <w:gridSpan w:val="5"/>
          </w:tcPr>
          <w:p>
            <w:pPr>
              <w:outlineLvl w:val="9"/>
              <w:rPr>
                <w:rFonts w:hint="eastAsia" w:ascii="仿宋" w:hAnsi="仿宋" w:eastAsia="仿宋" w:cs="仿宋"/>
                <w:color w:val="auto"/>
                <w:sz w:val="21"/>
                <w:szCs w:val="21"/>
                <w:highlight w:val="none"/>
              </w:rPr>
            </w:pPr>
            <w:bookmarkStart w:id="48" w:name="_Toc31431"/>
            <w:bookmarkStart w:id="49" w:name="_Toc3316"/>
            <w:bookmarkStart w:id="50" w:name="_Toc18304"/>
            <w:bookmarkStart w:id="51" w:name="_Toc9771"/>
            <w:bookmarkStart w:id="52" w:name="_Toc10002"/>
            <w:r>
              <w:rPr>
                <w:rFonts w:hint="eastAsia" w:ascii="仿宋" w:hAnsi="仿宋" w:eastAsia="仿宋" w:cs="仿宋"/>
                <w:color w:val="auto"/>
                <w:sz w:val="21"/>
                <w:szCs w:val="21"/>
                <w:highlight w:val="none"/>
              </w:rPr>
              <w:t>¥</w:t>
            </w:r>
            <w:bookmarkEnd w:id="48"/>
            <w:bookmarkEnd w:id="49"/>
            <w:bookmarkEnd w:id="50"/>
            <w:bookmarkEnd w:id="51"/>
            <w:bookmarkEnd w:id="52"/>
          </w:p>
        </w:tc>
      </w:tr>
    </w:tbl>
    <w:p>
      <w:pPr>
        <w:pStyle w:val="3"/>
        <w:spacing w:line="360" w:lineRule="auto"/>
        <w:jc w:val="both"/>
        <w:rPr>
          <w:rFonts w:hint="eastAsia" w:ascii="仿宋" w:hAnsi="仿宋" w:eastAsia="仿宋" w:cs="仿宋"/>
          <w:color w:val="auto"/>
          <w:sz w:val="21"/>
          <w:szCs w:val="21"/>
          <w:highlight w:val="none"/>
        </w:rPr>
      </w:pPr>
      <w:bookmarkStart w:id="53" w:name="_Toc6586"/>
      <w:bookmarkStart w:id="54" w:name="_Toc14881"/>
      <w:bookmarkStart w:id="55" w:name="_Toc28512"/>
      <w:r>
        <w:rPr>
          <w:rFonts w:hint="eastAsia" w:ascii="仿宋" w:hAnsi="仿宋" w:eastAsia="仿宋" w:cs="仿宋"/>
          <w:color w:val="auto"/>
          <w:sz w:val="21"/>
          <w:szCs w:val="21"/>
          <w:highlight w:val="none"/>
        </w:rPr>
        <w:t>第二条 合同价款</w:t>
      </w:r>
      <w:bookmarkEnd w:id="53"/>
      <w:bookmarkEnd w:id="54"/>
      <w:bookmarkEnd w:id="55"/>
    </w:p>
    <w:p>
      <w:pPr>
        <w:spacing w:line="360" w:lineRule="auto"/>
        <w:ind w:firstLine="420" w:firstLineChars="200"/>
        <w:jc w:val="both"/>
        <w:outlineLvl w:val="9"/>
        <w:rPr>
          <w:rFonts w:hint="eastAsia" w:ascii="仿宋" w:hAnsi="仿宋" w:eastAsia="仿宋" w:cs="仿宋"/>
          <w:b w:val="0"/>
          <w:color w:val="auto"/>
          <w:sz w:val="21"/>
          <w:szCs w:val="21"/>
          <w:highlight w:val="none"/>
        </w:rPr>
      </w:pPr>
      <w:r>
        <w:rPr>
          <w:rFonts w:hint="eastAsia" w:ascii="仿宋" w:hAnsi="仿宋" w:eastAsia="仿宋" w:cs="仿宋"/>
          <w:b w:val="0"/>
          <w:color w:val="auto"/>
          <w:sz w:val="21"/>
          <w:szCs w:val="21"/>
          <w:highlight w:val="none"/>
        </w:rPr>
        <w:t>1.合同总价：人民币（大写）</w:t>
      </w:r>
      <w:r>
        <w:rPr>
          <w:rFonts w:hint="eastAsia" w:ascii="仿宋" w:hAnsi="仿宋" w:eastAsia="仿宋" w:cs="仿宋"/>
          <w:color w:val="auto"/>
          <w:sz w:val="18"/>
          <w:szCs w:val="21"/>
          <w:highlight w:val="none"/>
          <w:u w:val="single"/>
          <w:lang w:val="en-US" w:eastAsia="zh-CN"/>
        </w:rPr>
        <w:t xml:space="preserve">                </w:t>
      </w:r>
      <w:r>
        <w:rPr>
          <w:rFonts w:hint="eastAsia" w:ascii="仿宋" w:hAnsi="仿宋" w:eastAsia="仿宋" w:cs="仿宋"/>
          <w:b w:val="0"/>
          <w:color w:val="auto"/>
          <w:sz w:val="21"/>
          <w:szCs w:val="21"/>
          <w:highlight w:val="none"/>
        </w:rPr>
        <w:t>，（￥</w:t>
      </w:r>
      <w:r>
        <w:rPr>
          <w:rFonts w:hint="eastAsia" w:ascii="仿宋" w:hAnsi="仿宋" w:eastAsia="仿宋" w:cs="仿宋"/>
          <w:color w:val="auto"/>
          <w:sz w:val="18"/>
          <w:szCs w:val="21"/>
          <w:highlight w:val="none"/>
          <w:u w:val="single"/>
          <w:lang w:val="en-US" w:eastAsia="zh-CN"/>
        </w:rPr>
        <w:t xml:space="preserve">                </w:t>
      </w:r>
      <w:r>
        <w:rPr>
          <w:rFonts w:hint="eastAsia" w:ascii="仿宋" w:hAnsi="仿宋" w:eastAsia="仿宋" w:cs="仿宋"/>
          <w:b w:val="0"/>
          <w:color w:val="auto"/>
          <w:sz w:val="21"/>
          <w:szCs w:val="21"/>
          <w:highlight w:val="none"/>
        </w:rPr>
        <w:t>）。</w:t>
      </w:r>
    </w:p>
    <w:p>
      <w:pPr>
        <w:spacing w:line="360" w:lineRule="auto"/>
        <w:ind w:firstLine="420" w:firstLineChars="200"/>
        <w:jc w:val="left"/>
        <w:outlineLvl w:val="9"/>
        <w:rPr>
          <w:rFonts w:hint="eastAsia" w:ascii="仿宋" w:hAnsi="仿宋" w:eastAsia="仿宋" w:cs="仿宋"/>
          <w:b w:val="0"/>
          <w:color w:val="auto"/>
          <w:sz w:val="21"/>
          <w:szCs w:val="21"/>
          <w:highlight w:val="none"/>
        </w:rPr>
      </w:pPr>
      <w:r>
        <w:rPr>
          <w:rFonts w:hint="eastAsia" w:ascii="仿宋" w:hAnsi="仿宋" w:eastAsia="仿宋" w:cs="仿宋"/>
          <w:b w:val="0"/>
          <w:color w:val="auto"/>
          <w:sz w:val="21"/>
          <w:szCs w:val="21"/>
          <w:highlight w:val="none"/>
        </w:rPr>
        <w:t>2.本合同总价是产品、</w:t>
      </w:r>
      <w:r>
        <w:rPr>
          <w:rFonts w:hint="eastAsia" w:ascii="仿宋" w:hAnsi="仿宋" w:eastAsia="仿宋" w:cs="仿宋"/>
          <w:b w:val="0"/>
          <w:color w:val="auto"/>
          <w:sz w:val="21"/>
          <w:szCs w:val="21"/>
          <w:highlight w:val="none"/>
          <w:lang w:val="en-US" w:eastAsia="zh-CN"/>
        </w:rPr>
        <w:t>辅材</w:t>
      </w:r>
      <w:r>
        <w:rPr>
          <w:rFonts w:hint="eastAsia" w:ascii="仿宋" w:hAnsi="仿宋" w:eastAsia="仿宋" w:cs="仿宋"/>
          <w:b w:val="0"/>
          <w:color w:val="auto"/>
          <w:sz w:val="21"/>
          <w:szCs w:val="21"/>
          <w:highlight w:val="none"/>
        </w:rPr>
        <w:t>、制造、包装、运输、安装、调试、检测、验收合格交付使用之前及保修期内保修服务与备用物件等其他有关各项的含税费用。</w:t>
      </w:r>
    </w:p>
    <w:p>
      <w:pPr>
        <w:spacing w:line="360" w:lineRule="auto"/>
        <w:ind w:firstLine="420" w:firstLineChars="200"/>
        <w:jc w:val="both"/>
        <w:outlineLvl w:val="9"/>
        <w:rPr>
          <w:rFonts w:hint="eastAsia" w:ascii="仿宋" w:hAnsi="仿宋" w:eastAsia="仿宋" w:cs="仿宋"/>
          <w:b w:val="0"/>
          <w:color w:val="auto"/>
          <w:sz w:val="21"/>
          <w:szCs w:val="21"/>
          <w:highlight w:val="none"/>
        </w:rPr>
      </w:pPr>
      <w:r>
        <w:rPr>
          <w:rFonts w:hint="eastAsia" w:ascii="仿宋" w:hAnsi="仿宋" w:eastAsia="仿宋" w:cs="仿宋"/>
          <w:b w:val="0"/>
          <w:color w:val="auto"/>
          <w:sz w:val="21"/>
          <w:szCs w:val="21"/>
          <w:highlight w:val="none"/>
        </w:rPr>
        <w:t>3.本合同总价还包含乙方应当提供的伴随服务和售后服务费用。</w:t>
      </w:r>
    </w:p>
    <w:p>
      <w:pPr>
        <w:spacing w:line="360" w:lineRule="auto"/>
        <w:ind w:firstLine="420" w:firstLineChars="200"/>
        <w:jc w:val="left"/>
        <w:outlineLvl w:val="9"/>
        <w:rPr>
          <w:rFonts w:hint="eastAsia" w:ascii="仿宋" w:hAnsi="仿宋" w:eastAsia="仿宋" w:cs="仿宋"/>
          <w:color w:val="auto"/>
          <w:sz w:val="21"/>
          <w:szCs w:val="21"/>
          <w:highlight w:val="none"/>
        </w:rPr>
      </w:pPr>
      <w:r>
        <w:rPr>
          <w:rFonts w:hint="eastAsia" w:ascii="仿宋" w:hAnsi="仿宋" w:eastAsia="仿宋" w:cs="仿宋"/>
          <w:b w:val="0"/>
          <w:color w:val="auto"/>
          <w:sz w:val="21"/>
          <w:szCs w:val="21"/>
          <w:highlight w:val="none"/>
        </w:rPr>
        <w:t>4.本合同执行期间合同总价不变，甲方无须另向乙方支付本合同规定之外的其他任何费用。</w:t>
      </w:r>
      <w:bookmarkStart w:id="56" w:name="_Toc31924"/>
    </w:p>
    <w:p>
      <w:pPr>
        <w:pStyle w:val="3"/>
        <w:spacing w:line="360" w:lineRule="auto"/>
        <w:jc w:val="both"/>
        <w:rPr>
          <w:rFonts w:hint="eastAsia" w:ascii="仿宋" w:hAnsi="仿宋" w:eastAsia="仿宋" w:cs="仿宋"/>
          <w:color w:val="auto"/>
          <w:sz w:val="21"/>
          <w:szCs w:val="21"/>
          <w:highlight w:val="none"/>
          <w:lang w:val="en-US" w:eastAsia="zh-CN"/>
        </w:rPr>
      </w:pPr>
      <w:bookmarkStart w:id="57" w:name="_Toc14426"/>
      <w:bookmarkStart w:id="58" w:name="_Toc2721"/>
      <w:r>
        <w:rPr>
          <w:rFonts w:hint="eastAsia" w:ascii="仿宋" w:hAnsi="仿宋" w:eastAsia="仿宋" w:cs="仿宋"/>
          <w:color w:val="auto"/>
          <w:sz w:val="21"/>
          <w:szCs w:val="21"/>
          <w:highlight w:val="none"/>
        </w:rPr>
        <w:t xml:space="preserve">第三条 </w:t>
      </w:r>
      <w:r>
        <w:rPr>
          <w:rFonts w:hint="eastAsia" w:ascii="仿宋" w:hAnsi="仿宋" w:eastAsia="仿宋" w:cs="仿宋"/>
          <w:color w:val="auto"/>
          <w:sz w:val="21"/>
          <w:szCs w:val="21"/>
          <w:highlight w:val="none"/>
          <w:lang w:val="en-US" w:eastAsia="zh-CN"/>
        </w:rPr>
        <w:t>合同价款</w:t>
      </w:r>
      <w:r>
        <w:rPr>
          <w:rFonts w:hint="eastAsia" w:ascii="仿宋" w:hAnsi="仿宋" w:eastAsia="仿宋" w:cs="仿宋"/>
          <w:color w:val="auto"/>
          <w:sz w:val="21"/>
          <w:szCs w:val="21"/>
          <w:highlight w:val="none"/>
        </w:rPr>
        <w:t>支付</w:t>
      </w:r>
      <w:bookmarkEnd w:id="56"/>
      <w:bookmarkEnd w:id="57"/>
      <w:bookmarkEnd w:id="58"/>
    </w:p>
    <w:p>
      <w:pPr>
        <w:pStyle w:val="16"/>
        <w:ind w:firstLine="420" w:firstLineChars="200"/>
        <w:rPr>
          <w:rFonts w:hint="eastAsia" w:ascii="仿宋" w:hAnsi="仿宋" w:eastAsia="仿宋" w:cs="仿宋"/>
          <w:color w:val="auto"/>
          <w:kern w:val="1"/>
          <w:sz w:val="21"/>
          <w:szCs w:val="21"/>
          <w:highlight w:val="none"/>
          <w:lang w:val="en-US" w:eastAsia="zh-CN" w:bidi="ar-SA"/>
        </w:rPr>
      </w:pPr>
      <w:bookmarkStart w:id="59" w:name="_Toc7450"/>
      <w:bookmarkStart w:id="60" w:name="_Toc24977"/>
      <w:bookmarkStart w:id="61" w:name="_Toc7176"/>
      <w:r>
        <w:rPr>
          <w:rFonts w:hint="eastAsia" w:ascii="仿宋" w:hAnsi="仿宋" w:eastAsia="仿宋" w:cs="仿宋"/>
          <w:color w:val="auto"/>
          <w:kern w:val="1"/>
          <w:sz w:val="21"/>
          <w:szCs w:val="21"/>
          <w:highlight w:val="none"/>
          <w:lang w:val="en-US" w:eastAsia="zh-CN" w:bidi="ar-SA"/>
        </w:rPr>
        <w:t>采购包1： 付款条件说明： 合同签订后 ，达到付款条件起 7 日内，支付合同总金额的 40.00%。</w:t>
      </w:r>
    </w:p>
    <w:p>
      <w:pPr>
        <w:pStyle w:val="16"/>
        <w:ind w:firstLine="420" w:firstLineChars="200"/>
        <w:rPr>
          <w:rFonts w:hint="eastAsia" w:ascii="仿宋" w:hAnsi="仿宋" w:eastAsia="仿宋" w:cs="仿宋"/>
          <w:color w:val="auto"/>
          <w:kern w:val="1"/>
          <w:sz w:val="21"/>
          <w:szCs w:val="21"/>
          <w:highlight w:val="none"/>
          <w:lang w:val="en-US" w:eastAsia="zh-CN" w:bidi="ar-SA"/>
        </w:rPr>
      </w:pPr>
      <w:r>
        <w:rPr>
          <w:rFonts w:hint="eastAsia" w:ascii="仿宋" w:hAnsi="仿宋" w:eastAsia="仿宋" w:cs="仿宋"/>
          <w:color w:val="auto"/>
          <w:kern w:val="1"/>
          <w:sz w:val="21"/>
          <w:szCs w:val="21"/>
          <w:highlight w:val="none"/>
          <w:lang w:val="en-US" w:eastAsia="zh-CN" w:bidi="ar-SA"/>
        </w:rPr>
        <w:t>采购包1： 付款条件说明：安装调试验收合格后 ，达到付款条件起 7 日内，支付合同总金额的 60.00%。</w:t>
      </w:r>
    </w:p>
    <w:p>
      <w:pPr>
        <w:pStyle w:val="3"/>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第四条 </w:t>
      </w:r>
      <w:r>
        <w:rPr>
          <w:rFonts w:hint="eastAsia" w:ascii="仿宋" w:hAnsi="仿宋" w:eastAsia="仿宋" w:cs="仿宋"/>
          <w:color w:val="auto"/>
          <w:sz w:val="21"/>
          <w:szCs w:val="21"/>
          <w:highlight w:val="none"/>
        </w:rPr>
        <w:t>交</w:t>
      </w:r>
      <w:r>
        <w:rPr>
          <w:rFonts w:hint="eastAsia" w:ascii="仿宋" w:hAnsi="仿宋" w:eastAsia="仿宋" w:cs="仿宋"/>
          <w:color w:val="auto"/>
          <w:sz w:val="21"/>
          <w:szCs w:val="21"/>
          <w:highlight w:val="none"/>
          <w:lang w:val="en-US" w:eastAsia="zh-CN"/>
        </w:rPr>
        <w:t>货期限</w:t>
      </w:r>
      <w:bookmarkEnd w:id="59"/>
      <w:bookmarkEnd w:id="60"/>
      <w:bookmarkEnd w:id="61"/>
    </w:p>
    <w:p>
      <w:pPr>
        <w:pStyle w:val="16"/>
        <w:ind w:firstLine="420" w:firstLineChars="200"/>
        <w:rPr>
          <w:rFonts w:hint="eastAsia" w:ascii="仿宋" w:hAnsi="仿宋" w:eastAsia="仿宋" w:cs="仿宋"/>
          <w:color w:val="auto"/>
          <w:kern w:val="1"/>
          <w:sz w:val="21"/>
          <w:szCs w:val="21"/>
          <w:highlight w:val="none"/>
          <w:lang w:val="en-US" w:eastAsia="zh-CN" w:bidi="ar-SA"/>
        </w:rPr>
      </w:pPr>
      <w:bookmarkStart w:id="62" w:name="_Toc8595"/>
      <w:r>
        <w:rPr>
          <w:rFonts w:hint="eastAsia" w:ascii="仿宋" w:hAnsi="仿宋" w:eastAsia="仿宋" w:cs="仿宋"/>
          <w:color w:val="auto"/>
          <w:kern w:val="1"/>
          <w:sz w:val="21"/>
          <w:szCs w:val="21"/>
          <w:highlight w:val="none"/>
          <w:lang w:val="en-US" w:eastAsia="zh-CN" w:bidi="ar-SA"/>
        </w:rPr>
        <w:t>自合同签订之日起，30个日历日完成全部项目内容。</w:t>
      </w:r>
      <w:bookmarkStart w:id="63" w:name="_Toc2774"/>
      <w:bookmarkStart w:id="64" w:name="_Toc18347"/>
    </w:p>
    <w:p>
      <w:pPr>
        <w:pStyle w:val="3"/>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第五条 质</w:t>
      </w:r>
      <w:bookmarkEnd w:id="62"/>
      <w:r>
        <w:rPr>
          <w:rFonts w:hint="eastAsia" w:ascii="仿宋" w:hAnsi="仿宋" w:eastAsia="仿宋" w:cs="仿宋"/>
          <w:color w:val="auto"/>
          <w:sz w:val="21"/>
          <w:szCs w:val="21"/>
          <w:highlight w:val="none"/>
          <w:lang w:val="en-US" w:eastAsia="zh-CN"/>
        </w:rPr>
        <w:t>保</w:t>
      </w:r>
      <w:bookmarkEnd w:id="63"/>
      <w:bookmarkEnd w:id="64"/>
      <w:r>
        <w:rPr>
          <w:rFonts w:hint="eastAsia" w:ascii="仿宋" w:hAnsi="仿宋" w:eastAsia="仿宋" w:cs="仿宋"/>
          <w:color w:val="auto"/>
          <w:sz w:val="21"/>
          <w:szCs w:val="21"/>
          <w:highlight w:val="none"/>
          <w:lang w:val="en-US" w:eastAsia="zh-CN"/>
        </w:rPr>
        <w:t>保证</w:t>
      </w:r>
    </w:p>
    <w:p>
      <w:pPr>
        <w:pStyle w:val="9"/>
        <w:spacing w:line="360" w:lineRule="auto"/>
        <w:ind w:firstLine="420" w:firstLineChars="200"/>
        <w:rPr>
          <w:rFonts w:hint="eastAsia" w:ascii="仿宋" w:hAnsi="仿宋" w:eastAsia="仿宋" w:cs="仿宋"/>
          <w:color w:val="auto"/>
          <w:sz w:val="21"/>
          <w:szCs w:val="21"/>
        </w:rPr>
      </w:pPr>
      <w:bookmarkStart w:id="65" w:name="_Toc23635"/>
      <w:bookmarkStart w:id="66" w:name="_Toc26000"/>
      <w:bookmarkStart w:id="67" w:name="_Toc5147"/>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rPr>
        <w:t>乙方提供的设备及配套产品，必须</w:t>
      </w:r>
      <w:r>
        <w:rPr>
          <w:rFonts w:hint="eastAsia" w:ascii="仿宋" w:hAnsi="仿宋" w:eastAsia="仿宋" w:cs="仿宋"/>
          <w:color w:val="auto"/>
          <w:sz w:val="21"/>
          <w:szCs w:val="21"/>
          <w:lang w:val="en-US" w:eastAsia="zh-CN"/>
        </w:rPr>
        <w:t>按照我国现使用的标准</w:t>
      </w:r>
      <w:r>
        <w:rPr>
          <w:rFonts w:hint="eastAsia" w:ascii="仿宋" w:hAnsi="仿宋" w:eastAsia="仿宋" w:cs="仿宋"/>
          <w:color w:val="auto"/>
          <w:sz w:val="21"/>
          <w:szCs w:val="21"/>
        </w:rPr>
        <w:t>制造</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必须是合格</w:t>
      </w:r>
      <w:r>
        <w:rPr>
          <w:rFonts w:hint="eastAsia" w:ascii="仿宋" w:hAnsi="仿宋" w:eastAsia="仿宋" w:cs="仿宋"/>
          <w:color w:val="auto"/>
          <w:sz w:val="21"/>
          <w:szCs w:val="21"/>
        </w:rPr>
        <w:t>、全新、未曾使用的产品，产品内部无损坏，外表无磨损，内部包装无破损。整套产品必须通过由国家技术监督部门授权的计量检定单位的检定，并附有检定使用合格证书。</w:t>
      </w:r>
    </w:p>
    <w:p>
      <w:pPr>
        <w:pStyle w:val="9"/>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乙方提供的设备及配套产品必须等同于或优于合同技术指标要求，并能按国家标准供应、检测、调试，确保产品技术指标满足使用要求。</w:t>
      </w:r>
    </w:p>
    <w:p>
      <w:pPr>
        <w:pStyle w:val="9"/>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3.</w:t>
      </w:r>
      <w:r>
        <w:rPr>
          <w:rFonts w:hint="eastAsia" w:ascii="仿宋" w:hAnsi="仿宋" w:eastAsia="仿宋" w:cs="仿宋"/>
          <w:color w:val="auto"/>
          <w:sz w:val="21"/>
          <w:szCs w:val="21"/>
        </w:rPr>
        <w:t>乙方须保证所提供的设备经正确安装、正常运转和保养，在其使用寿命期内须具有符合质量要求和产品说明书的性能。在产品质量保证期之内，乙方须对由于设计、工艺或材料的缺陷而发生的任何不足或故障负责，并免费予以改进或更换。</w:t>
      </w:r>
    </w:p>
    <w:p>
      <w:pPr>
        <w:pStyle w:val="9"/>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pStyle w:val="9"/>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5.</w:t>
      </w:r>
      <w:r>
        <w:rPr>
          <w:rFonts w:hint="eastAsia" w:ascii="仿宋" w:hAnsi="仿宋" w:eastAsia="仿宋" w:cs="仿宋"/>
          <w:color w:val="auto"/>
          <w:sz w:val="21"/>
          <w:szCs w:val="21"/>
        </w:rPr>
        <w:t>乙方在收到通知后虽答复，但没有弥补缺陷，甲方可采取必要的补救措施，但由此引发的风险和费用将由乙方承担。甲方根据合同规定对乙方行使的其他权力不受影响。</w:t>
      </w:r>
    </w:p>
    <w:p>
      <w:pPr>
        <w:pStyle w:val="16"/>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 xml:space="preserve">6.（1）质保期为终验合格后3年（参数中有具体要求的，按参数要求提供质保）。成交供应商承诺的质保时间超过磋商文件要求的，按其承诺时间质保。 </w:t>
      </w:r>
    </w:p>
    <w:p>
      <w:pPr>
        <w:pStyle w:val="16"/>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 xml:space="preserve">（2）成交供应商承诺的质保期起始时间为验收合格之日。 </w:t>
      </w:r>
    </w:p>
    <w:p>
      <w:pPr>
        <w:pStyle w:val="16"/>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 xml:space="preserve">（3）所有产品质量必须符合现行的国家标准或国家行政部门颁布的法律法规、规章制度等。没有国家标准的，可以参考行业标准。所有设备及辅材必须是未使用过的新产品，质量优良、渠道正当，配置合理。 </w:t>
      </w:r>
    </w:p>
    <w:p>
      <w:pPr>
        <w:pStyle w:val="16"/>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（4）质保期出现的质量问题由成交供应商负责解决并承担所有费用。质保期后如需更换零部件，成交供应商应以优惠价提供。</w:t>
      </w:r>
    </w:p>
    <w:p>
      <w:pPr>
        <w:pStyle w:val="14"/>
        <w:spacing w:line="360" w:lineRule="auto"/>
        <w:outlineLvl w:val="1"/>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第六条 权利保证</w:t>
      </w:r>
      <w:bookmarkEnd w:id="65"/>
      <w:bookmarkEnd w:id="66"/>
      <w:bookmarkEnd w:id="67"/>
    </w:p>
    <w:p>
      <w:pPr>
        <w:pStyle w:val="14"/>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1.乙方保证对其出售的货物享有合法的权利。</w:t>
      </w:r>
    </w:p>
    <w:p>
      <w:pPr>
        <w:pStyle w:val="14"/>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2.乙方保证对其出售的货物上不存在任何未曾向甲方透露的担保物权，如抵押权、质押权、留置权。</w:t>
      </w:r>
    </w:p>
    <w:p>
      <w:pPr>
        <w:pStyle w:val="14"/>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3.乙方保证对其出售的货物或其任何一部分没有侵犯第三方的专利权、版权、商标权或其他权利。</w:t>
      </w:r>
    </w:p>
    <w:p>
      <w:pPr>
        <w:pStyle w:val="14"/>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rPr>
        <w:t>4.如甲方在使用该货物构成上述侵权的，则由乙方承担全部责任。</w:t>
      </w:r>
    </w:p>
    <w:p>
      <w:pPr>
        <w:pStyle w:val="14"/>
        <w:spacing w:line="360" w:lineRule="auto"/>
        <w:outlineLvl w:val="1"/>
        <w:rPr>
          <w:rFonts w:hint="eastAsia" w:ascii="仿宋" w:hAnsi="仿宋" w:eastAsia="仿宋" w:cs="仿宋"/>
          <w:b/>
          <w:color w:val="auto"/>
          <w:sz w:val="21"/>
          <w:szCs w:val="21"/>
          <w:highlight w:val="none"/>
          <w:lang w:val="en-US" w:eastAsia="zh-CN"/>
        </w:rPr>
      </w:pPr>
      <w:bookmarkStart w:id="68" w:name="_Toc18410"/>
      <w:bookmarkStart w:id="69" w:name="_Toc31505"/>
      <w:bookmarkStart w:id="70" w:name="_Toc31476"/>
      <w:r>
        <w:rPr>
          <w:rFonts w:hint="eastAsia" w:ascii="仿宋" w:hAnsi="仿宋" w:eastAsia="仿宋" w:cs="仿宋"/>
          <w:b/>
          <w:color w:val="auto"/>
          <w:sz w:val="21"/>
          <w:szCs w:val="21"/>
          <w:highlight w:val="none"/>
        </w:rPr>
        <w:t>第</w:t>
      </w:r>
      <w:r>
        <w:rPr>
          <w:rFonts w:hint="eastAsia" w:ascii="仿宋" w:hAnsi="仿宋" w:eastAsia="仿宋" w:cs="仿宋"/>
          <w:b/>
          <w:color w:val="auto"/>
          <w:sz w:val="21"/>
          <w:szCs w:val="21"/>
          <w:highlight w:val="none"/>
          <w:lang w:val="en-US" w:eastAsia="zh-CN"/>
        </w:rPr>
        <w:t>七</w:t>
      </w:r>
      <w:r>
        <w:rPr>
          <w:rFonts w:hint="eastAsia" w:ascii="仿宋" w:hAnsi="仿宋" w:eastAsia="仿宋" w:cs="仿宋"/>
          <w:b/>
          <w:color w:val="auto"/>
          <w:sz w:val="21"/>
          <w:szCs w:val="21"/>
          <w:highlight w:val="none"/>
        </w:rPr>
        <w:t>条 售后服务</w:t>
      </w:r>
      <w:bookmarkEnd w:id="68"/>
      <w:bookmarkEnd w:id="69"/>
      <w:bookmarkEnd w:id="70"/>
      <w:r>
        <w:rPr>
          <w:rFonts w:hint="eastAsia" w:ascii="仿宋" w:hAnsi="仿宋" w:eastAsia="仿宋" w:cs="仿宋"/>
          <w:b/>
          <w:color w:val="auto"/>
          <w:sz w:val="21"/>
          <w:szCs w:val="21"/>
          <w:highlight w:val="none"/>
          <w:lang w:val="en-US" w:eastAsia="zh-CN"/>
        </w:rPr>
        <w:t>及培训</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lang w:val="en-US" w:eastAsia="zh-CN"/>
        </w:rPr>
        <w:t>1.</w:t>
      </w:r>
      <w:r>
        <w:rPr>
          <w:rFonts w:hint="eastAsia" w:ascii="仿宋" w:hAnsi="仿宋" w:eastAsia="仿宋" w:cs="仿宋"/>
          <w:color w:val="auto"/>
          <w:kern w:val="0"/>
          <w:sz w:val="21"/>
          <w:szCs w:val="21"/>
          <w:highlight w:val="none"/>
        </w:rPr>
        <w:t>乙方应按照国家有关法律法规以及</w:t>
      </w:r>
      <w:r>
        <w:rPr>
          <w:rFonts w:hint="eastAsia" w:ascii="仿宋" w:hAnsi="仿宋" w:eastAsia="仿宋" w:cs="仿宋"/>
          <w:color w:val="auto"/>
          <w:kern w:val="0"/>
          <w:sz w:val="21"/>
          <w:szCs w:val="21"/>
          <w:highlight w:val="none"/>
          <w:lang w:eastAsia="zh-CN"/>
        </w:rPr>
        <w:t>采购文件</w:t>
      </w:r>
      <w:r>
        <w:rPr>
          <w:rFonts w:hint="eastAsia" w:ascii="仿宋" w:hAnsi="仿宋" w:eastAsia="仿宋" w:cs="仿宋"/>
          <w:color w:val="auto"/>
          <w:kern w:val="0"/>
          <w:sz w:val="21"/>
          <w:szCs w:val="21"/>
          <w:highlight w:val="none"/>
        </w:rPr>
        <w:t>要求和</w:t>
      </w:r>
      <w:r>
        <w:rPr>
          <w:rFonts w:hint="eastAsia" w:ascii="仿宋" w:hAnsi="仿宋" w:eastAsia="仿宋" w:cs="仿宋"/>
          <w:color w:val="auto"/>
          <w:kern w:val="0"/>
          <w:sz w:val="21"/>
          <w:szCs w:val="21"/>
          <w:highlight w:val="none"/>
          <w:lang w:eastAsia="zh-CN"/>
        </w:rPr>
        <w:t>响应文件</w:t>
      </w:r>
      <w:r>
        <w:rPr>
          <w:rFonts w:hint="eastAsia" w:ascii="仿宋" w:hAnsi="仿宋" w:eastAsia="仿宋" w:cs="仿宋"/>
          <w:color w:val="auto"/>
          <w:kern w:val="0"/>
          <w:sz w:val="21"/>
          <w:szCs w:val="21"/>
          <w:highlight w:val="none"/>
        </w:rPr>
        <w:t>的</w:t>
      </w:r>
      <w:r>
        <w:rPr>
          <w:rFonts w:hint="eastAsia" w:ascii="仿宋" w:hAnsi="仿宋" w:eastAsia="仿宋" w:cs="仿宋"/>
          <w:color w:val="auto"/>
          <w:kern w:val="0"/>
          <w:sz w:val="21"/>
          <w:szCs w:val="21"/>
          <w:highlight w:val="none"/>
          <w:lang w:val="en-US" w:eastAsia="zh-CN"/>
        </w:rPr>
        <w:t>售后方案</w:t>
      </w:r>
      <w:r>
        <w:rPr>
          <w:rFonts w:hint="eastAsia" w:ascii="仿宋" w:hAnsi="仿宋" w:eastAsia="仿宋" w:cs="仿宋"/>
          <w:color w:val="auto"/>
          <w:kern w:val="0"/>
          <w:sz w:val="21"/>
          <w:szCs w:val="21"/>
          <w:highlight w:val="none"/>
        </w:rPr>
        <w:t>提供服务。</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lang w:val="en-US" w:eastAsia="zh-CN"/>
        </w:rPr>
        <w:t>2.</w:t>
      </w:r>
      <w:r>
        <w:rPr>
          <w:rFonts w:hint="eastAsia" w:ascii="仿宋" w:hAnsi="仿宋" w:eastAsia="仿宋" w:cs="仿宋"/>
          <w:color w:val="auto"/>
          <w:kern w:val="0"/>
          <w:sz w:val="21"/>
          <w:szCs w:val="21"/>
          <w:highlight w:val="none"/>
        </w:rPr>
        <w:t>乙方负责提供仪器设备相应的技术资料，包括产品合格证、产品保修单、安装使用及维护说明书以及运输装箱清单等,并对所有技术材料的真实性、准确性、先进性、完整性负责。</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lang w:val="en-US" w:eastAsia="zh-CN"/>
        </w:rPr>
        <w:t>3.</w:t>
      </w:r>
      <w:r>
        <w:rPr>
          <w:rFonts w:hint="eastAsia" w:ascii="仿宋" w:hAnsi="仿宋" w:eastAsia="仿宋" w:cs="仿宋"/>
          <w:color w:val="auto"/>
          <w:kern w:val="0"/>
          <w:sz w:val="21"/>
          <w:szCs w:val="21"/>
          <w:highlight w:val="none"/>
        </w:rPr>
        <w:t>人员培训：乙方终身免费为甲方培训设备使用人员，培训内容包括：设备操作、维护、简单维修等。</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lang w:val="en-US" w:eastAsia="zh-CN"/>
        </w:rPr>
        <w:t>4.</w:t>
      </w:r>
      <w:r>
        <w:rPr>
          <w:rFonts w:hint="eastAsia" w:ascii="仿宋" w:hAnsi="仿宋" w:eastAsia="仿宋" w:cs="仿宋"/>
          <w:color w:val="auto"/>
          <w:kern w:val="0"/>
          <w:sz w:val="21"/>
          <w:szCs w:val="21"/>
          <w:highlight w:val="none"/>
        </w:rPr>
        <w:t>售后服务：质保期内乙方对甲方提出的服务响应不得超出</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小时。</w:t>
      </w:r>
    </w:p>
    <w:p>
      <w:pPr>
        <w:pStyle w:val="14"/>
        <w:spacing w:line="360" w:lineRule="auto"/>
        <w:outlineLvl w:val="1"/>
        <w:rPr>
          <w:rFonts w:hint="eastAsia" w:ascii="仿宋" w:hAnsi="仿宋" w:eastAsia="仿宋" w:cs="仿宋"/>
          <w:b/>
          <w:color w:val="auto"/>
          <w:sz w:val="21"/>
          <w:szCs w:val="21"/>
          <w:highlight w:val="none"/>
        </w:rPr>
      </w:pPr>
      <w:bookmarkStart w:id="71" w:name="_Toc3919"/>
      <w:bookmarkStart w:id="72" w:name="_Toc28698"/>
      <w:bookmarkStart w:id="73" w:name="_Toc3711"/>
      <w:r>
        <w:rPr>
          <w:rFonts w:hint="eastAsia" w:ascii="仿宋" w:hAnsi="仿宋" w:eastAsia="仿宋" w:cs="仿宋"/>
          <w:b/>
          <w:color w:val="auto"/>
          <w:sz w:val="21"/>
          <w:szCs w:val="21"/>
          <w:highlight w:val="none"/>
        </w:rPr>
        <w:t>第</w:t>
      </w:r>
      <w:r>
        <w:rPr>
          <w:rFonts w:hint="eastAsia" w:ascii="仿宋" w:hAnsi="仿宋" w:eastAsia="仿宋" w:cs="仿宋"/>
          <w:b/>
          <w:color w:val="auto"/>
          <w:sz w:val="21"/>
          <w:szCs w:val="21"/>
          <w:highlight w:val="none"/>
          <w:lang w:val="en-US" w:eastAsia="zh-CN"/>
        </w:rPr>
        <w:t>八</w:t>
      </w:r>
      <w:r>
        <w:rPr>
          <w:rFonts w:hint="eastAsia" w:ascii="仿宋" w:hAnsi="仿宋" w:eastAsia="仿宋" w:cs="仿宋"/>
          <w:b/>
          <w:color w:val="auto"/>
          <w:sz w:val="21"/>
          <w:szCs w:val="21"/>
          <w:highlight w:val="none"/>
        </w:rPr>
        <w:t>条 违约责任</w:t>
      </w:r>
      <w:bookmarkEnd w:id="71"/>
      <w:bookmarkEnd w:id="72"/>
      <w:bookmarkEnd w:id="73"/>
    </w:p>
    <w:p>
      <w:pPr>
        <w:pStyle w:val="14"/>
        <w:spacing w:line="360" w:lineRule="auto"/>
        <w:ind w:firstLine="420" w:firstLineChars="2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1.甲方违约责任</w:t>
      </w:r>
    </w:p>
    <w:p>
      <w:pPr>
        <w:pStyle w:val="14"/>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（1）甲方无正当理由拒收货物的，甲方应偿付合同总价</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%的违约金；</w:t>
      </w:r>
    </w:p>
    <w:p>
      <w:pPr>
        <w:pStyle w:val="14"/>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（2）甲方逾期支付货款的，除应及时付足货款外，应向乙方每天支付欠款总额</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的滞纳金；但累计滞纳金总额不超过欠款总额的</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pPr>
        <w:pStyle w:val="14"/>
        <w:spacing w:line="360" w:lineRule="auto"/>
        <w:ind w:firstLine="420" w:firstLineChars="2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2.乙方违约责任</w:t>
      </w:r>
    </w:p>
    <w:p>
      <w:pPr>
        <w:widowControl/>
        <w:spacing w:line="360" w:lineRule="auto"/>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（1）如乙方不能交付货物，同时乙方应向甲方支付合同总价</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％的违约金；</w:t>
      </w:r>
    </w:p>
    <w:p>
      <w:pPr>
        <w:widowControl/>
        <w:spacing w:line="360" w:lineRule="auto"/>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（2）乙方逾期交付货物的，每逾期1天，乙方向甲方偿付逾期交付部分货款总额的</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none"/>
          <w:lang w:val="en-US" w:eastAsia="zh-CN"/>
        </w:rPr>
        <w:t>%</w:t>
      </w:r>
      <w:r>
        <w:rPr>
          <w:rFonts w:hint="eastAsia" w:ascii="仿宋" w:hAnsi="仿宋" w:eastAsia="仿宋" w:cs="仿宋"/>
          <w:color w:val="auto"/>
          <w:kern w:val="0"/>
          <w:sz w:val="21"/>
          <w:szCs w:val="21"/>
          <w:highlight w:val="none"/>
        </w:rPr>
        <w:t>的滞纳金。如乙方逾期交付达</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天，甲方有权解除合同，解除合同的通知自到达乙方时生效，乙方应向甲方支付合同总价的</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%违约金，违约金不足以弥补甲方损失的，由乙方另行支付；</w:t>
      </w:r>
    </w:p>
    <w:p>
      <w:pPr>
        <w:widowControl/>
        <w:spacing w:line="360" w:lineRule="auto"/>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%的违约金，并按甲方要求予以免费更换；</w:t>
      </w:r>
    </w:p>
    <w:p>
      <w:pPr>
        <w:pStyle w:val="14"/>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%的违约金，违约金不足以弥补甲方损失的，由乙方另行支付；</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（6）乙方未按本合同的规定和</w:t>
      </w:r>
      <w:r>
        <w:rPr>
          <w:rFonts w:hint="eastAsia" w:ascii="仿宋" w:hAnsi="仿宋" w:eastAsia="仿宋" w:cs="仿宋"/>
          <w:color w:val="auto"/>
          <w:kern w:val="0"/>
          <w:sz w:val="21"/>
          <w:szCs w:val="21"/>
          <w:highlight w:val="none"/>
          <w:lang w:val="en-US" w:eastAsia="zh-CN"/>
        </w:rPr>
        <w:t>售后服务方案</w:t>
      </w:r>
      <w:r>
        <w:rPr>
          <w:rFonts w:hint="eastAsia" w:ascii="仿宋" w:hAnsi="仿宋" w:eastAsia="仿宋" w:cs="仿宋"/>
          <w:color w:val="auto"/>
          <w:kern w:val="0"/>
          <w:sz w:val="21"/>
          <w:szCs w:val="21"/>
          <w:highlight w:val="none"/>
        </w:rPr>
        <w:t>提供伴随服务/售后服务的，应按合同总价款的</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%向甲方承担违约责任；</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pPr>
        <w:pStyle w:val="14"/>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（8）乙方偿付的违约金不足以弥补甲方损失的，还应按甲方损失尚未弥补的部分，支付赔偿金给甲方。</w:t>
      </w:r>
    </w:p>
    <w:p>
      <w:pPr>
        <w:widowControl/>
        <w:spacing w:line="360" w:lineRule="auto"/>
        <w:jc w:val="left"/>
        <w:outlineLvl w:val="1"/>
        <w:rPr>
          <w:rFonts w:hint="eastAsia" w:ascii="仿宋" w:hAnsi="仿宋" w:eastAsia="仿宋" w:cs="仿宋"/>
          <w:color w:val="auto"/>
          <w:kern w:val="0"/>
          <w:sz w:val="21"/>
          <w:szCs w:val="21"/>
          <w:highlight w:val="none"/>
        </w:rPr>
      </w:pPr>
      <w:bookmarkStart w:id="74" w:name="_Toc17126"/>
      <w:bookmarkStart w:id="75" w:name="_Toc13805"/>
      <w:bookmarkStart w:id="76" w:name="_Toc27557"/>
      <w:r>
        <w:rPr>
          <w:rFonts w:hint="eastAsia" w:ascii="仿宋" w:hAnsi="仿宋" w:eastAsia="仿宋" w:cs="仿宋"/>
          <w:b/>
          <w:color w:val="auto"/>
          <w:sz w:val="21"/>
          <w:szCs w:val="21"/>
          <w:highlight w:val="none"/>
        </w:rPr>
        <w:t>第</w:t>
      </w:r>
      <w:r>
        <w:rPr>
          <w:rFonts w:hint="eastAsia" w:ascii="仿宋" w:hAnsi="仿宋" w:eastAsia="仿宋" w:cs="仿宋"/>
          <w:b/>
          <w:color w:val="auto"/>
          <w:sz w:val="21"/>
          <w:szCs w:val="21"/>
          <w:highlight w:val="none"/>
          <w:lang w:val="en-US" w:eastAsia="zh-CN"/>
        </w:rPr>
        <w:t>九</w:t>
      </w:r>
      <w:r>
        <w:rPr>
          <w:rFonts w:hint="eastAsia" w:ascii="仿宋" w:hAnsi="仿宋" w:eastAsia="仿宋" w:cs="仿宋"/>
          <w:b/>
          <w:color w:val="auto"/>
          <w:sz w:val="21"/>
          <w:szCs w:val="21"/>
          <w:highlight w:val="none"/>
        </w:rPr>
        <w:t xml:space="preserve">条 </w:t>
      </w:r>
      <w:r>
        <w:rPr>
          <w:rFonts w:hint="eastAsia" w:ascii="仿宋" w:hAnsi="仿宋" w:eastAsia="仿宋" w:cs="仿宋"/>
          <w:b/>
          <w:color w:val="auto"/>
          <w:kern w:val="0"/>
          <w:sz w:val="21"/>
          <w:szCs w:val="21"/>
          <w:highlight w:val="none"/>
        </w:rPr>
        <w:t>合同的变更和终止</w:t>
      </w:r>
      <w:bookmarkEnd w:id="74"/>
      <w:bookmarkEnd w:id="75"/>
      <w:bookmarkEnd w:id="76"/>
    </w:p>
    <w:p>
      <w:pPr>
        <w:widowControl/>
        <w:spacing w:line="360" w:lineRule="auto"/>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除《中华人民共和国政府采购法》第49条、第50条第二款规定的情形外，本合同一经签订，甲乙双方不得擅自变更、中止或终止合同。</w:t>
      </w:r>
    </w:p>
    <w:p>
      <w:pPr>
        <w:widowControl/>
        <w:spacing w:line="360" w:lineRule="auto"/>
        <w:jc w:val="left"/>
        <w:outlineLvl w:val="1"/>
        <w:rPr>
          <w:rFonts w:hint="eastAsia" w:ascii="仿宋" w:hAnsi="仿宋" w:eastAsia="仿宋" w:cs="仿宋"/>
          <w:b/>
          <w:color w:val="auto"/>
          <w:kern w:val="0"/>
          <w:sz w:val="21"/>
          <w:szCs w:val="21"/>
          <w:highlight w:val="none"/>
        </w:rPr>
      </w:pPr>
      <w:bookmarkStart w:id="77" w:name="_Toc16869"/>
      <w:bookmarkStart w:id="78" w:name="_Toc29986"/>
      <w:bookmarkStart w:id="79" w:name="_Toc13338"/>
      <w:r>
        <w:rPr>
          <w:rFonts w:hint="eastAsia" w:ascii="仿宋" w:hAnsi="仿宋" w:eastAsia="仿宋" w:cs="仿宋"/>
          <w:b/>
          <w:color w:val="auto"/>
          <w:kern w:val="0"/>
          <w:sz w:val="21"/>
          <w:szCs w:val="21"/>
          <w:highlight w:val="none"/>
        </w:rPr>
        <w:t>第十条 争议的解决</w:t>
      </w:r>
      <w:bookmarkEnd w:id="77"/>
      <w:bookmarkEnd w:id="78"/>
      <w:bookmarkEnd w:id="79"/>
    </w:p>
    <w:p>
      <w:pPr>
        <w:pStyle w:val="14"/>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1.因货物的质量问题发生争议，由质量技术监督部门或其指定的质量鉴定机构进行质量鉴定。货物符合标准的，鉴定费由甲方承担；货物不符合质量标准的，鉴定费由乙方承担。</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种方式解决争议：</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（1）向甲方所在地有管辖权的人民法院提起诉讼；</w:t>
      </w:r>
    </w:p>
    <w:p>
      <w:pPr>
        <w:pStyle w:val="14"/>
        <w:spacing w:line="360" w:lineRule="auto"/>
        <w:ind w:firstLine="420" w:firstLineChars="200"/>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rPr>
        <w:t>（2）向</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仲裁委员会按其仲裁规则申请仲裁</w:t>
      </w:r>
      <w:r>
        <w:rPr>
          <w:rFonts w:hint="eastAsia" w:ascii="仿宋" w:hAnsi="仿宋" w:eastAsia="仿宋" w:cs="仿宋"/>
          <w:color w:val="auto"/>
          <w:kern w:val="0"/>
          <w:sz w:val="21"/>
          <w:szCs w:val="21"/>
          <w:highlight w:val="none"/>
          <w:lang w:eastAsia="zh-CN"/>
        </w:rPr>
        <w:t>；</w:t>
      </w:r>
    </w:p>
    <w:p>
      <w:pPr>
        <w:pStyle w:val="14"/>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3.在诉讼期间，本合同应继续履行。</w:t>
      </w:r>
    </w:p>
    <w:p>
      <w:pPr>
        <w:snapToGrid w:val="0"/>
        <w:spacing w:line="360" w:lineRule="auto"/>
        <w:textAlignment w:val="baseline"/>
        <w:outlineLvl w:val="1"/>
        <w:rPr>
          <w:rFonts w:hint="eastAsia" w:ascii="仿宋" w:hAnsi="仿宋" w:eastAsia="仿宋" w:cs="仿宋"/>
          <w:b/>
          <w:color w:val="auto"/>
          <w:sz w:val="21"/>
          <w:szCs w:val="21"/>
          <w:highlight w:val="none"/>
        </w:rPr>
      </w:pPr>
      <w:bookmarkStart w:id="80" w:name="_Toc24039"/>
      <w:bookmarkStart w:id="81" w:name="_Toc6911"/>
      <w:bookmarkStart w:id="82" w:name="_Toc26051"/>
      <w:r>
        <w:rPr>
          <w:rFonts w:hint="eastAsia" w:ascii="仿宋" w:hAnsi="仿宋" w:eastAsia="仿宋" w:cs="仿宋"/>
          <w:b/>
          <w:color w:val="auto"/>
          <w:sz w:val="21"/>
          <w:szCs w:val="21"/>
          <w:highlight w:val="none"/>
        </w:rPr>
        <w:t>第十</w:t>
      </w:r>
      <w:r>
        <w:rPr>
          <w:rFonts w:hint="eastAsia" w:ascii="仿宋" w:hAnsi="仿宋" w:eastAsia="仿宋" w:cs="仿宋"/>
          <w:b/>
          <w:color w:val="auto"/>
          <w:sz w:val="21"/>
          <w:szCs w:val="21"/>
          <w:highlight w:val="none"/>
          <w:lang w:val="en-US" w:eastAsia="zh-CN"/>
        </w:rPr>
        <w:t>一条</w:t>
      </w:r>
      <w:r>
        <w:rPr>
          <w:rFonts w:hint="eastAsia" w:ascii="仿宋" w:hAnsi="仿宋" w:eastAsia="仿宋" w:cs="仿宋"/>
          <w:color w:val="auto"/>
          <w:sz w:val="21"/>
          <w:szCs w:val="21"/>
          <w:highlight w:val="none"/>
        </w:rPr>
        <w:t xml:space="preserve"> </w:t>
      </w:r>
      <w:r>
        <w:rPr>
          <w:rFonts w:hint="eastAsia" w:ascii="仿宋" w:hAnsi="仿宋" w:eastAsia="仿宋" w:cs="仿宋"/>
          <w:b/>
          <w:color w:val="auto"/>
          <w:sz w:val="21"/>
          <w:szCs w:val="21"/>
          <w:highlight w:val="none"/>
        </w:rPr>
        <w:t>合同文件</w:t>
      </w:r>
      <w:bookmarkEnd w:id="80"/>
      <w:bookmarkEnd w:id="81"/>
      <w:bookmarkEnd w:id="82"/>
    </w:p>
    <w:p>
      <w:pPr>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1.本合同书</w:t>
      </w:r>
    </w:p>
    <w:p>
      <w:pPr>
        <w:snapToGrid w:val="0"/>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lang w:eastAsia="zh-CN"/>
        </w:rPr>
        <w:t>成交通知书</w:t>
      </w:r>
      <w:r>
        <w:rPr>
          <w:rFonts w:hint="eastAsia" w:ascii="仿宋" w:hAnsi="仿宋" w:eastAsia="仿宋" w:cs="仿宋"/>
          <w:color w:val="auto"/>
          <w:sz w:val="21"/>
          <w:szCs w:val="21"/>
          <w:highlight w:val="none"/>
        </w:rPr>
        <w:tab/>
      </w:r>
    </w:p>
    <w:p>
      <w:pPr>
        <w:snapToGrid w:val="0"/>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3.协议</w:t>
      </w:r>
    </w:p>
    <w:p>
      <w:pPr>
        <w:snapToGrid w:val="0"/>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r>
        <w:rPr>
          <w:rFonts w:hint="eastAsia" w:ascii="仿宋" w:hAnsi="仿宋" w:eastAsia="仿宋" w:cs="仿宋"/>
          <w:color w:val="auto"/>
          <w:sz w:val="21"/>
          <w:szCs w:val="21"/>
          <w:highlight w:val="none"/>
          <w:lang w:eastAsia="zh-CN"/>
        </w:rPr>
        <w:t>采购文件</w:t>
      </w:r>
      <w:r>
        <w:rPr>
          <w:rFonts w:hint="eastAsia" w:ascii="仿宋" w:hAnsi="仿宋" w:eastAsia="仿宋" w:cs="仿宋"/>
          <w:color w:val="auto"/>
          <w:sz w:val="21"/>
          <w:szCs w:val="21"/>
          <w:highlight w:val="none"/>
        </w:rPr>
        <w:t>(含澄清或者修改文件)</w:t>
      </w:r>
    </w:p>
    <w:p>
      <w:pPr>
        <w:snapToGrid w:val="0"/>
        <w:spacing w:line="360" w:lineRule="auto"/>
        <w:ind w:firstLine="420" w:firstLineChars="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5.</w:t>
      </w:r>
      <w:r>
        <w:rPr>
          <w:rFonts w:hint="eastAsia" w:ascii="仿宋" w:hAnsi="仿宋" w:eastAsia="仿宋" w:cs="仿宋"/>
          <w:color w:val="auto"/>
          <w:sz w:val="21"/>
          <w:szCs w:val="21"/>
          <w:highlight w:val="none"/>
          <w:lang w:eastAsia="zh-CN"/>
        </w:rPr>
        <w:t>响应文件</w:t>
      </w:r>
    </w:p>
    <w:p>
      <w:pPr>
        <w:snapToGrid w:val="0"/>
        <w:spacing w:line="360" w:lineRule="auto"/>
        <w:outlineLvl w:val="1"/>
        <w:rPr>
          <w:rFonts w:hint="eastAsia" w:ascii="仿宋" w:hAnsi="仿宋" w:eastAsia="仿宋" w:cs="仿宋"/>
          <w:b/>
          <w:color w:val="auto"/>
          <w:kern w:val="0"/>
          <w:sz w:val="21"/>
          <w:szCs w:val="21"/>
          <w:highlight w:val="none"/>
        </w:rPr>
      </w:pPr>
      <w:bookmarkStart w:id="83" w:name="_Toc1382"/>
      <w:bookmarkStart w:id="84" w:name="_Toc32342"/>
      <w:bookmarkStart w:id="85" w:name="_Toc13842"/>
      <w:r>
        <w:rPr>
          <w:rFonts w:hint="eastAsia" w:ascii="仿宋" w:hAnsi="仿宋" w:eastAsia="仿宋" w:cs="仿宋"/>
          <w:b/>
          <w:color w:val="auto"/>
          <w:sz w:val="21"/>
          <w:szCs w:val="21"/>
          <w:highlight w:val="none"/>
        </w:rPr>
        <w:t>第十</w:t>
      </w:r>
      <w:r>
        <w:rPr>
          <w:rFonts w:hint="eastAsia" w:ascii="仿宋" w:hAnsi="仿宋" w:eastAsia="仿宋" w:cs="仿宋"/>
          <w:b/>
          <w:color w:val="auto"/>
          <w:sz w:val="21"/>
          <w:szCs w:val="21"/>
          <w:highlight w:val="none"/>
          <w:lang w:val="en-US" w:eastAsia="zh-CN"/>
        </w:rPr>
        <w:t>二</w:t>
      </w:r>
      <w:r>
        <w:rPr>
          <w:rFonts w:hint="eastAsia" w:ascii="仿宋" w:hAnsi="仿宋" w:eastAsia="仿宋" w:cs="仿宋"/>
          <w:b/>
          <w:color w:val="auto"/>
          <w:sz w:val="21"/>
          <w:szCs w:val="21"/>
          <w:highlight w:val="none"/>
        </w:rPr>
        <w:t xml:space="preserve">条 </w:t>
      </w:r>
      <w:r>
        <w:rPr>
          <w:rFonts w:hint="eastAsia" w:ascii="仿宋" w:hAnsi="仿宋" w:eastAsia="仿宋" w:cs="仿宋"/>
          <w:b/>
          <w:color w:val="auto"/>
          <w:kern w:val="0"/>
          <w:sz w:val="21"/>
          <w:szCs w:val="21"/>
          <w:highlight w:val="none"/>
        </w:rPr>
        <w:t>合同生效及其他</w:t>
      </w:r>
      <w:bookmarkEnd w:id="83"/>
      <w:bookmarkEnd w:id="84"/>
      <w:bookmarkEnd w:id="85"/>
    </w:p>
    <w:p>
      <w:pPr>
        <w:snapToGrid w:val="0"/>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w:t>
      </w:r>
      <w:r>
        <w:rPr>
          <w:rFonts w:hint="eastAsia" w:ascii="仿宋" w:hAnsi="仿宋" w:eastAsia="仿宋" w:cs="仿宋"/>
          <w:color w:val="auto"/>
          <w:sz w:val="21"/>
          <w:szCs w:val="21"/>
          <w:highlight w:val="none"/>
        </w:rPr>
        <w:t>如有未尽事宜，由双方依法订立补充合同，补充合同与本合同效力一致。</w:t>
      </w:r>
    </w:p>
    <w:p>
      <w:pPr>
        <w:snapToGrid w:val="0"/>
        <w:spacing w:line="36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2.本合同自双方签字、盖章之日起生效。</w:t>
      </w:r>
    </w:p>
    <w:p>
      <w:pPr>
        <w:snapToGrid w:val="0"/>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3.本合同一式</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份，具有同等法律效力，甲乙双方各执</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份。</w:t>
      </w:r>
    </w:p>
    <w:p>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4.合同附件：技术协议、采购文件、响应文件、成交通知书</w:t>
      </w:r>
    </w:p>
    <w:p>
      <w:pPr>
        <w:spacing w:line="360" w:lineRule="auto"/>
        <w:ind w:firstLine="420" w:firstLineChars="200"/>
        <w:rPr>
          <w:rFonts w:hint="eastAsia" w:ascii="仿宋" w:hAnsi="仿宋" w:eastAsia="仿宋" w:cs="仿宋"/>
          <w:color w:val="auto"/>
          <w:sz w:val="21"/>
          <w:szCs w:val="21"/>
          <w:highlight w:val="none"/>
        </w:rPr>
      </w:pPr>
    </w:p>
    <w:p>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甲方：   （盖章）   </w:t>
      </w:r>
      <w:r>
        <w:rPr>
          <w:rFonts w:hint="eastAsia" w:ascii="仿宋" w:hAnsi="仿宋" w:eastAsia="仿宋" w:cs="仿宋"/>
          <w:color w:val="auto"/>
          <w:sz w:val="21"/>
          <w:szCs w:val="21"/>
          <w:highlight w:val="none"/>
        </w:rPr>
        <w:tab/>
      </w:r>
      <w:r>
        <w:rPr>
          <w:rFonts w:hint="eastAsia" w:ascii="仿宋" w:hAnsi="仿宋" w:eastAsia="仿宋" w:cs="仿宋"/>
          <w:color w:val="auto"/>
          <w:sz w:val="21"/>
          <w:szCs w:val="21"/>
          <w:highlight w:val="none"/>
        </w:rPr>
        <w:tab/>
      </w:r>
      <w:r>
        <w:rPr>
          <w:rFonts w:hint="eastAsia" w:ascii="仿宋" w:hAnsi="仿宋" w:eastAsia="仿宋" w:cs="仿宋"/>
          <w:color w:val="auto"/>
          <w:sz w:val="21"/>
          <w:szCs w:val="21"/>
          <w:highlight w:val="none"/>
        </w:rPr>
        <w:tab/>
      </w:r>
      <w:r>
        <w:rPr>
          <w:rFonts w:hint="eastAsia" w:ascii="仿宋" w:hAnsi="仿宋" w:eastAsia="仿宋" w:cs="仿宋"/>
          <w:color w:val="auto"/>
          <w:sz w:val="21"/>
          <w:szCs w:val="21"/>
          <w:highlight w:val="none"/>
        </w:rPr>
        <w:t xml:space="preserve">       乙方：   （盖章）</w:t>
      </w:r>
    </w:p>
    <w:p>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法定代表人/委托代理人：            法定代表人/委托代理人：</w:t>
      </w:r>
    </w:p>
    <w:p>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地    址：                         地    址：</w:t>
      </w:r>
    </w:p>
    <w:p>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开户银行：                         开户银行：</w:t>
      </w:r>
    </w:p>
    <w:p>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账    号：                         账    号：</w:t>
      </w:r>
    </w:p>
    <w:p>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    话：                         电    话：</w:t>
      </w:r>
    </w:p>
    <w:p>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传    真：                         传    真：</w:t>
      </w:r>
    </w:p>
    <w:p>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签约日期：    年  月  日           签约日期：    年  月  日</w:t>
      </w:r>
    </w:p>
    <w:p>
      <w:bookmarkStart w:id="86" w:name="_GoBack"/>
      <w:bookmarkEnd w:id="8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C5458A1-C472-48FC-AA2B-913B7B888B1C}"/>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C0A1E51A-2D2B-4DD6-888E-A34C2092D72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38E42B80"/>
    <w:rsid w:val="020E02AA"/>
    <w:rsid w:val="03DF3BE5"/>
    <w:rsid w:val="07AA45D1"/>
    <w:rsid w:val="07E51AAD"/>
    <w:rsid w:val="0B1A04DC"/>
    <w:rsid w:val="0C0544CC"/>
    <w:rsid w:val="0FE47B20"/>
    <w:rsid w:val="123F625E"/>
    <w:rsid w:val="17E72CD8"/>
    <w:rsid w:val="180B4E43"/>
    <w:rsid w:val="19EE2A43"/>
    <w:rsid w:val="1D3C6D55"/>
    <w:rsid w:val="1E2845DF"/>
    <w:rsid w:val="20225D70"/>
    <w:rsid w:val="217B0D8B"/>
    <w:rsid w:val="263C4B36"/>
    <w:rsid w:val="264913D7"/>
    <w:rsid w:val="2A7C59B7"/>
    <w:rsid w:val="2F95544C"/>
    <w:rsid w:val="321150C9"/>
    <w:rsid w:val="328422AA"/>
    <w:rsid w:val="33613CE8"/>
    <w:rsid w:val="33E4755F"/>
    <w:rsid w:val="354F3848"/>
    <w:rsid w:val="36883480"/>
    <w:rsid w:val="36A007CA"/>
    <w:rsid w:val="38E42B80"/>
    <w:rsid w:val="397078B6"/>
    <w:rsid w:val="3D0A09CF"/>
    <w:rsid w:val="3EB2121E"/>
    <w:rsid w:val="40F57964"/>
    <w:rsid w:val="44983428"/>
    <w:rsid w:val="466F5577"/>
    <w:rsid w:val="4B271062"/>
    <w:rsid w:val="4D4F798F"/>
    <w:rsid w:val="4EDE7C89"/>
    <w:rsid w:val="4F5C39D0"/>
    <w:rsid w:val="4FB97F09"/>
    <w:rsid w:val="50DE21C3"/>
    <w:rsid w:val="51D13AD5"/>
    <w:rsid w:val="552D54C7"/>
    <w:rsid w:val="56150435"/>
    <w:rsid w:val="56881917"/>
    <w:rsid w:val="56B31FEC"/>
    <w:rsid w:val="59DF77B4"/>
    <w:rsid w:val="59F42A57"/>
    <w:rsid w:val="5B461090"/>
    <w:rsid w:val="5CE31541"/>
    <w:rsid w:val="61984CBF"/>
    <w:rsid w:val="643B2AF7"/>
    <w:rsid w:val="672D34DB"/>
    <w:rsid w:val="6BEE7E41"/>
    <w:rsid w:val="6BF95CAB"/>
    <w:rsid w:val="6D8433DC"/>
    <w:rsid w:val="70427DDE"/>
    <w:rsid w:val="70695446"/>
    <w:rsid w:val="706F5A59"/>
    <w:rsid w:val="73920EBF"/>
    <w:rsid w:val="73D828EE"/>
    <w:rsid w:val="759A04FF"/>
    <w:rsid w:val="797A48CF"/>
    <w:rsid w:val="7A6723E9"/>
    <w:rsid w:val="7A6C1FF8"/>
    <w:rsid w:val="7B2D4AD8"/>
    <w:rsid w:val="7CFB0605"/>
    <w:rsid w:val="7ED3221A"/>
    <w:rsid w:val="7FE02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autoRedefine/>
    <w:qFormat/>
    <w:uiPriority w:val="0"/>
    <w:pPr>
      <w:jc w:val="center"/>
      <w:outlineLvl w:val="0"/>
    </w:pPr>
    <w:rPr>
      <w:rFonts w:ascii="宋体" w:hAnsi="宋体"/>
      <w:b/>
      <w:sz w:val="36"/>
    </w:rPr>
  </w:style>
  <w:style w:type="paragraph" w:styleId="3">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5">
    <w:name w:val="annotation text"/>
    <w:basedOn w:val="1"/>
    <w:qFormat/>
    <w:uiPriority w:val="0"/>
    <w:pPr>
      <w:jc w:val="left"/>
    </w:pPr>
  </w:style>
  <w:style w:type="paragraph" w:styleId="6">
    <w:name w:val="Body Text"/>
    <w:basedOn w:val="1"/>
    <w:next w:val="1"/>
    <w:autoRedefine/>
    <w:qFormat/>
    <w:uiPriority w:val="0"/>
    <w:pPr>
      <w:spacing w:after="120"/>
    </w:pPr>
    <w:rPr>
      <w:rFonts w:ascii="Times New Roman" w:hAnsi="Times New Roman"/>
    </w:rPr>
  </w:style>
  <w:style w:type="paragraph" w:styleId="7">
    <w:name w:val="Body Text Indent"/>
    <w:basedOn w:val="1"/>
    <w:next w:val="8"/>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Body Text First Indent 2"/>
    <w:basedOn w:val="7"/>
    <w:next w:val="1"/>
    <w:autoRedefine/>
    <w:qFormat/>
    <w:uiPriority w:val="0"/>
    <w:pPr>
      <w:ind w:firstLine="420" w:firstLineChars="200"/>
    </w:pPr>
    <w:rPr>
      <w:sz w:val="21"/>
    </w:rPr>
  </w:style>
  <w:style w:type="paragraph" w:customStyle="1" w:styleId="14">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5">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3039</Words>
  <Characters>3088</Characters>
  <Lines>0</Lines>
  <Paragraphs>0</Paragraphs>
  <TotalTime>0</TotalTime>
  <ScaleCrop>false</ScaleCrop>
  <LinksUpToDate>false</LinksUpToDate>
  <CharactersWithSpaces>3503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懛鰦</cp:lastModifiedBy>
  <dcterms:modified xsi:type="dcterms:W3CDTF">2025-10-29T08:27:52Z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1CCEC583AA234E7190960739386B8EF1_11</vt:lpwstr>
  </property>
  <property fmtid="{D5CDD505-2E9C-101B-9397-08002B2CF9AE}" pid="4" name="KSOTemplateDocerSaveRecord">
    <vt:lpwstr>eyJoZGlkIjoiNzRkODU0NWM1NTRlNTZjMDFhNjAyNDM3ZDE1ZjE0YTMiLCJ1c2VySWQiOiIzMTQzODkxMTYifQ==</vt:lpwstr>
  </property>
</Properties>
</file>