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版本号：0617-2521HZ313220251111002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办公用品及办公纸张采购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0617-2521HZ3132</w:t>
      </w:r>
      <w:r>
        <w:br/>
      </w:r>
      <w:r>
        <w:br/>
      </w:r>
      <w:r>
        <w:br/>
      </w:r>
    </w:p>
    <w:p>
      <w:pPr>
        <w:pStyle w:val="null3"/>
        <w:jc w:val="center"/>
        <w:outlineLvl w:val="2"/>
      </w:pPr>
      <w:r>
        <w:rPr>
          <w:rFonts w:ascii="仿宋_GB2312" w:hAnsi="仿宋_GB2312" w:cs="仿宋_GB2312" w:eastAsia="仿宋_GB2312"/>
          <w:sz w:val="28"/>
          <w:b/>
        </w:rPr>
        <w:t>西安市第八医院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西安市第八医院</w:t>
      </w:r>
      <w:r>
        <w:rPr>
          <w:rFonts w:ascii="仿宋_GB2312" w:hAnsi="仿宋_GB2312" w:cs="仿宋_GB2312" w:eastAsia="仿宋_GB2312"/>
        </w:rPr>
        <w:t>委托，拟对</w:t>
      </w:r>
      <w:r>
        <w:rPr>
          <w:rFonts w:ascii="仿宋_GB2312" w:hAnsi="仿宋_GB2312" w:cs="仿宋_GB2312" w:eastAsia="仿宋_GB2312"/>
        </w:rPr>
        <w:t>办公用品及办公纸张采购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0617-2521HZ3132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办公用品及办公纸张采购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随着医院业务的不断发展，对办公用品及办公纸张的需求日益增加，为了确保办公用品的质量可靠、价格合理，同时提高采购效率，医院决定进行办公用品及办公纸张的采购。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陕西省西安市丈八东路2号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029-85222018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收费标准下浮20%向成交供应商收取。 2.缴费时间：确定成交人后3日内，由成交人向招标代理机构一次付清招标代理服务费。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西安市第八医院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西安市第八医院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西安市第八医院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按照谈判文件、响应文件及合同相关条款</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根据医院业务发展需要，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7"/>
              </w:rPr>
              <w:t>一、技术要求 （核心产品： 文件盒（2））</w:t>
            </w:r>
          </w:p>
          <w:p>
            <w:pPr>
              <w:pStyle w:val="null3"/>
              <w:jc w:val="both"/>
            </w:pPr>
            <w:r>
              <w:rPr>
                <w:rFonts w:ascii="仿宋_GB2312" w:hAnsi="仿宋_GB2312" w:cs="仿宋_GB2312" w:eastAsia="仿宋_GB2312"/>
                <w:sz w:val="21"/>
                <w:b/>
              </w:rPr>
              <w:t>注：各项产品报价不得超过单项最高限价</w:t>
            </w:r>
          </w:p>
          <w:tbl>
            <w:tblPr>
              <w:tblBorders>
                <w:top w:val="single"/>
                <w:left w:val="single"/>
                <w:bottom w:val="single"/>
                <w:right w:val="single"/>
                <w:insideH w:val="single"/>
                <w:insideV w:val="single"/>
              </w:tblBorders>
            </w:tblPr>
            <w:tblGrid>
              <w:gridCol w:w="253"/>
              <w:gridCol w:w="467"/>
              <w:gridCol w:w="883"/>
              <w:gridCol w:w="279"/>
              <w:gridCol w:w="318"/>
              <w:gridCol w:w="350"/>
            </w:tblGrid>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序号</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产品名称</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规格</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数量</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单位</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单项最高限价（元）</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复印纸（1）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A4,70g,500张/包PB级优等品原生木浆 适用于彩色影印、合同标书等重要文件打印</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复印纸（2）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A5,70g,500张/包PB级优等品原生木浆</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复印纸（3）</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A3,75g,500张/包PB级优等品原生木浆</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条码纸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50mm*30mm 800枚/卷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打印纸（1）</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70g,241-1 1000张/箱</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打印纸（2）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60g,241-2 1/2彩 1000张/箱</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打印纸（3）</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60g,241-2彩1000张/箱</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打印纸（4）</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60g,241-3 1/2彩 1000张/箱</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打印纸（5）</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60g,241-1 1/2白 1000张/箱</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47</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打印纸（6）</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75打印纸 120卷/箱 单层</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双线稿纸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A4，70克纸张，纯木浆，胶装装订，一本不少于20页</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瓶签纸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50mm*60mm 520枚/卷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彩喷纸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A4,140g,50张/包</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彩色复印纸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A4,80g,粉100张/包</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凭证纸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240mm*140mm 6000张/箱</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相纸（1）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A4 180g20张/包</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相纸（2）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6寸200g 100张/包</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50mm*60mm 800枚/卷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50mm*30mm 1000枚/卷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热敏纸（3）</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80mm*80mm 40米左右/卷 纸克重70克</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热敏纸（3）</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57mm*35mm 10米左右/卷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热敏纸（4）</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57mm*40mm 12米左右/卷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热敏纸（5）</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57mm*50mm 18米左右/卷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热敏纸（6）</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80mm*60mm 60米左右/卷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热敏纸（7）</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30mm*25mm 10cm*30m/卷 带背胶自粘型</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热敏纸（8）</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23mm*23mm10cm*30m/卷 带背胶、自粘型</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热敏纸（9）</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44mm*40mm 12m米左右/卷 双胶纸</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0.95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热敏纸（10）</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80mm*70mm 500枚/卷 带背胶，自粘型</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热敏纸（11）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90mm*55mm 1000枚/卷 带背胶自粘型</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热敏纸（12）</w:t>
                  </w:r>
                </w:p>
              </w:tc>
              <w:tc>
                <w:tcPr>
                  <w:tcW w:type="dxa" w:w="883"/>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18"/>
                      <w:color w:val="000000"/>
                    </w:rPr>
                    <w:t>100mm*120mm三联 500枚/卷带背胶自粘型</w:t>
                  </w:r>
                  <w:r>
                    <w:br/>
                  </w:r>
                  <w:r>
                    <w:rPr>
                      <w:rFonts w:ascii="仿宋_GB2312" w:hAnsi="仿宋_GB2312" w:cs="仿宋_GB2312" w:eastAsia="仿宋_GB2312"/>
                      <w:sz w:val="18"/>
                      <w:color w:val="000000"/>
                    </w:rPr>
                    <w:t xml:space="preserve"> (100*90+50*30+50*30)</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B超擦拭纸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≥15cm*21cm，≥400抽/包，单层</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抽纸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≥200抽，盒抽，206*195MM（±10MM），原生木浆，两层</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大盘纸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12卷/箱，≥180米/卷，120*90MM（±10MM），三层</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卫生卷纸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≥1.7kg ，≥10卷/提，原色纸浆，每卷独立包装</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提</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空心卷筒纸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100%原生木浆，4层加厚，不含荧光增白剂，每提不少于1.4KG</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提</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擦手纸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20包/箱，≥220抽/包，225*230MM（±10MM） </w:t>
                  </w:r>
                  <w:r>
                    <w:rPr>
                      <w:rFonts w:ascii="仿宋_GB2312" w:hAnsi="仿宋_GB2312" w:cs="仿宋_GB2312" w:eastAsia="仿宋_GB2312"/>
                      <w:sz w:val="18"/>
                      <w:color w:val="000000"/>
                    </w:rPr>
                    <w:t>原生木浆</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湿巾纸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亲肤无刺激，99.9%杀菌率 每包不少于80片</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湿巾纸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亲肤无刺激，99.9%杀菌率 每包不少于10片</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中性笔黑</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0.5mm,塑料,闭合方式:盖帽</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中性笔蓝</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0.5mm,塑料,闭合方式:盖帽</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中性笔红</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0.5mm,塑料,闭合方式:盖帽</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中性笔蓝黑</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0.5mm,塑料,闭合方式:盖帽</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中性笔黑笔芯</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0.5mm,塑料,颜料型油墨，20支/盒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中性笔蓝笔芯</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0.5mm,塑料,颜料型油墨20支/盒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中性笔红笔芯</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0.5mm,塑料,颜料型油墨20支/盒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中性笔蓝黑芯</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0.5mm,塑料,颜料型油墨20支/盒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中性笔</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0.5mm，ST笔头，速干不脏手，双核芯12支/盒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签字笔（1）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0.5mm，大容量，磨砂杆，12支/盒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签字笔（2）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0.7mm，大容量，磨砂杆，12支/盒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签字笔（3）</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0.5mm，速干全针管直液式签字笔12支/盒</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记号笔</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3.0mm,速干油,塑料，小双头</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处方笔</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0.5mm，墨蓝，12支/盒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53</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档案袋（1）</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340*240*40mm、牛皮纸，克重大于250g</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档案袋（2）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340*240*60mm、牛皮纸，克重大于250g</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档案袋（3）</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340*240*100mm、牛皮纸，克重大于250g</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公文包</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优质耐用涤纶提手、牛津布料，牛津布提手，金属拉链，425*300*55mm（误差10mm内）</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医疗垃圾袋</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黄色，110cm*90cm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小号垃圾袋</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塑料购物袋，GB-21661-2008 400mm（250+50）mm*0.025mm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自动铅笔</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0.5mm,塑料,按动式</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自动铅笔芯</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0.5mm,2B,长度60mm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铅笔2B</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木质,2B，</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62</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台笔</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0.5mm,塑料,自粘,中性笔,</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圆珠笔</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0.7mm，蓝色塑料，12支/盒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票据夹</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塑料,A5把手式金属单夹,厚度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2.4cm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双强力夹</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塑料,A4把手式金属双夹,厚度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2.4cm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单夹文件夹</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塑料,A4把手式金属单夹厚度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2.4cm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L型文件夹</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310*220mm，厚度：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0.18mm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书写板夹</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透明塑料,A4,山形夹</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抽杆文件夹</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10mm抽杆,透明塑料,A4</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四联文件架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塑料,标准尺寸,竖式</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三联文件架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塑料,标准尺寸,竖式</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三层文件座</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常规,上下活动,适用于A4文件放置</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活页文件册</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60页,PP材质,A4</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纸质档案盒</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5cm,无酸牛皮纸，A4</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纸质档案盒</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10cm,无酸牛皮纸，A4</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干部人事档案盒</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310*225*35mm、内簧高弹性不锈钢</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文件袋（1）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PP材质、扣式、适用A4</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文件袋（2）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PVC材质、拉链、适用A4</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软皮本</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32开，32张</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缝线本</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A5  </w:t>
                  </w:r>
                  <w:r>
                    <w:rPr>
                      <w:rFonts w:ascii="仿宋_GB2312" w:hAnsi="仿宋_GB2312" w:cs="仿宋_GB2312" w:eastAsia="仿宋_GB2312"/>
                      <w:sz w:val="18"/>
                      <w:color w:val="000000"/>
                    </w:rPr>
                    <w:t>210*148mm，（误差10mm内）40张/本，横线间距8mm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黑皮本（1）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A6,≥140张，70克纸</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黑皮本（2）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18开，≥120张，70克纸</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黑皮本（3）</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25开，≥96页，70克纸原木浆纸</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黑皮本（4）</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72K，≥140张 便携式带扣原木浆纸</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牛皮记录本</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16K ≥48张</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86</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长尾夹（1）</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金属材质,彩色,50mm(12只/盒)</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87</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长尾夹（2）</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金属材质,彩色41mm(24只/盒)</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88</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长尾夹</w:t>
                  </w:r>
                  <w:r>
                    <w:rPr>
                      <w:rFonts w:ascii="仿宋_GB2312" w:hAnsi="仿宋_GB2312" w:cs="仿宋_GB2312" w:eastAsia="仿宋_GB2312"/>
                      <w:sz w:val="18"/>
                      <w:color w:val="000000"/>
                    </w:rPr>
                    <w:t>（3）</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金属材质，彩色,32mm(24只/盒)</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89</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长尾夹（4）</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金属材质,彩色,25mm(48只/盒)</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长尾夹</w:t>
                  </w:r>
                  <w:r>
                    <w:rPr>
                      <w:rFonts w:ascii="仿宋_GB2312" w:hAnsi="仿宋_GB2312" w:cs="仿宋_GB2312" w:eastAsia="仿宋_GB2312"/>
                      <w:sz w:val="18"/>
                      <w:color w:val="000000"/>
                    </w:rPr>
                    <w:t>（5）</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金属材质,彩色19mm(40只/盒)</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91</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长尾夹（6）</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金属材质，彩色,15mm(60只/筒)</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剪刀</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不锈钢,树脂把手,长</w:t>
                  </w:r>
                  <w:r>
                    <w:rPr>
                      <w:rFonts w:ascii="仿宋_GB2312" w:hAnsi="仿宋_GB2312" w:cs="仿宋_GB2312" w:eastAsia="仿宋_GB2312"/>
                      <w:sz w:val="18"/>
                      <w:color w:val="000000"/>
                    </w:rPr>
                    <w:t>≥</w:t>
                  </w:r>
                  <w:r>
                    <w:rPr>
                      <w:rFonts w:ascii="仿宋_GB2312" w:hAnsi="仿宋_GB2312" w:cs="仿宋_GB2312" w:eastAsia="仿宋_GB2312"/>
                      <w:sz w:val="18"/>
                      <w:color w:val="000000"/>
                    </w:rPr>
                    <w:t>180mm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把</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重型订书机</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金属,可装订210页</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订书机</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金属,可装订40页,入纸深度筒65mm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订书针</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12mm,钢丝，24/8，1000枚/盒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厚层订书针</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12*10mm,钢丝,23/13,1000枚/盒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回形针</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30mm,白钢，100枚/盒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大别针</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金属,36mm,白钢，一盒不少于300枚</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胶水</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液体胶，塑料瓶(≥125ml)</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瓶</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固体胶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≥21g</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瓶</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双面胶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12mm*10y*80μm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文件盒（1）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PP材质,55mm,A4，厚度≥1mm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 文件盒（2）（核心产品）</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PP材质,75mm,A4，厚度≥1mm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直尺（1）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2CR13不锈钢，长度30cm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把</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直尺（2）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PS,400*38*3mm（误差5mm内）</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把</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卷尺</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5米，尺带材质：高碳钢抗弯折，表面涂抹耐磨面漆，尺带规格：≥5m*19mm，双点射功能，锁定测量便捷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卷尺</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10米，尺带材质：高碳钢抗弯折，表面涂抹耐磨面漆，尺带规格：≥10m*25mm，双点射功能，锁定测量便捷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起钉器</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金属,12#</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橡皮擦</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树脂,4B,≥25g</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美工刀（1）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金属,≥165*35mm，铝合金，8/刀头</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美工刀（2）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金属,≥125*9mm，钢合金，13/刀头</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印油</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红色，≥40ml</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瓶</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印台</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快干(红色),140*90mm(±10mm)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印章垫</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塑料、常规</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笔筒</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ABS塑胶材质,四层多功能，90*90*100mm(±10mm)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计算器(1)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≥190*150*40mm，带语音</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计算器(2)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≥140*45*10mm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白板</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镀锌面板,80*120cm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白板笔</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1.8mm线幅，醇性墨水，易擦</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根</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白板架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铝合金,可移动，可伸缩</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白板擦</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塑料,≥100*50mm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温湿度计</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电子式，90*25*100mm(±10mm),-30℃-50℃</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卷笔刀</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PP,塑料,手动</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传票夹</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≥145*70mm,金属</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海绵缸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塑料、常规，30克</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荣誉证书（1）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16K绒面</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荣誉证书（2）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8K绒面</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荣誉证书（3）</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4K绒面</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胶带（1）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50mm*100m*50μm,透明</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胶带（2）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12mm*180cm，透明</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插线板</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1.8米，五孔4个，二孔4个，八插位总控插座，超功率自动断电，强阻燃面料，符合新国标要求</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插线板</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3米，五孔4个，二孔4个，八插位总控插座，超功率自动断电，强阻燃面料，符合新国标要求</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插线板</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5米，五孔4个，二孔4个，八插位总控插座，超功率自动断电，强阻燃面料，符合新国标要求</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暖水瓶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5升，不锈钢内胆，不锈钢外壳真空</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茶壶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2L 玻璃 带茶漏</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挂钟</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直径40cm，适用5号电池</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纸篓</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塑料,8L</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粘钩</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PVC,自粘型</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0.95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小红桶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5升,pp材质</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蓝桶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塑料,220升</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套扫</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不锈钢杆，高度80cm(±5cm),27*23cm（±2cm）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胶棉拖把</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金属杆儿,滚轮式,38cm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线拖把</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木把手，≥700克棉线</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方巾</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≥30*40mm,纤维</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方巾</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≥30*30mm,纯棉</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毛巾</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≥30*700mm,棉线，不掉毛絮</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条</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浴巾</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超细纤维≥150*90cm </w:t>
                  </w:r>
                  <w:r>
                    <w:rPr>
                      <w:rFonts w:ascii="仿宋_GB2312" w:hAnsi="仿宋_GB2312" w:cs="仿宋_GB2312" w:eastAsia="仿宋_GB2312"/>
                      <w:sz w:val="18"/>
                      <w:color w:val="000000"/>
                    </w:rPr>
                    <w:t>不掉毛絮</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手电筒</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塑料,白光,可充电，≥25cm,5瓦</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笔式手电筒</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0.6W，锂电6h长续航，无极调光，USB充电，1000mAh，小巧精致</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整理箱</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塑料,25升</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指甲剪小</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合金</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扎带</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塑料，30cm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钥匙盘</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48孔,金属,带钥匙牌</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海绵胶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2.5mm*2.5cm*5m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洗衣粉</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≥500g</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洗衣液</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≥1kg</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桶</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肥皂</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≥260g</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脸盆</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原生料，≥35*13cm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牙膏</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≥150g含氟</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洗洁精</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≥500ml</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瓶</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洁厕净</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≥500ml</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瓶</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识别腕带</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pvc,柔软、不伤皮肤,(蓝)带定制医院标识 25*2.5cm、通过CE,抗菌性，SGS，FDA认证</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0.57</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梳子</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针线盒</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常规</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痰盂刷</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塑料,常规</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线手套</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常规，880g,12双，纯棉</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橡胶手套</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38厘米长</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双</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装订铆管</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5.2mm*500mm,100支/盒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电池（1）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7号，无汞碱性电池，1.5V，GB/T8897.2</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节</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电池（2）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9V，无汞碱性电池,GB/T8897.2</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节</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电池（3）</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5号，无汞碱性电池,1.5V，GB/T8897.2</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节</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充电电池</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充电电池2粒(1.2V)+充电器240V</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信封(1)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大号,325*230mm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信封(2)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中号,245*160mm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信封(3)</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小号,235*100mm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会计凭证皮</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A4，竖版</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张</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会计凭证盒</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A4，横版</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电蚊香液</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1器+1液</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电蚊香片</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30片/盒</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蚊香盘</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≥120mm、无烟型</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电蚊拍</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锂电池、三层大网面、TYpe-C快充</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驱蚊花露水</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≥180ml驱蚊有效时长7h，具有 含避蚊胺或派卡瑞丁等权威认证驱蚊成分的产品，有农药登记证号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瓶</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一次性纸杯</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50只，9盎司，加厚，270ml</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品尝杯</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75只/包，30ml/只</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医疗垃圾桶（1）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15L原生料，脚踩</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186</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医疗垃圾桶（2）</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20L原生料，脚踩</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187</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医疗垃圾桶（3）</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30L,原生料，脚踩</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188</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医疗垃圾桶（4）</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40L原生料，脚踩</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189</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医疗垃圾桶（5）</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50L原生料，脚踩</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190</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医疗垃圾桶（6）</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120L，翻盖，原生料，双轮</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191</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医疗垃圾桶（7）</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240L，翻盖，原生料，双轮</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192</w:t>
                  </w:r>
                </w:p>
              </w:tc>
              <w:tc>
                <w:tcPr>
                  <w:tcW w:type="dxa" w:w="4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麻醉处方</w:t>
                  </w:r>
                </w:p>
              </w:tc>
              <w:tc>
                <w:tcPr>
                  <w:tcW w:type="dxa" w:w="8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100张，190*130mm,,75g彩胶纸</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w:t>
                  </w:r>
                </w:p>
              </w:tc>
              <w:tc>
                <w:tcPr>
                  <w:tcW w:type="dxa" w:w="35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碎纸机</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碎纸量：连续8张，11瓦</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无线门铃</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一拖一，传输距离≥160米，电池款</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67</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电热水壶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1.7L，304不锈钢内胆，1800瓦，220V</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69</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樟脑丸</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20g，20个/袋</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杀虫剂</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≥600ml，钢瓶装 </w:t>
                  </w:r>
                  <w:r>
                    <w:rPr>
                      <w:rFonts w:ascii="仿宋_GB2312" w:hAnsi="仿宋_GB2312" w:cs="仿宋_GB2312" w:eastAsia="仿宋_GB2312"/>
                      <w:sz w:val="18"/>
                      <w:color w:val="000000"/>
                    </w:rPr>
                    <w:t>有效驱杀蚊蝇等多种害虫</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瓶</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墨水</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原装适配爱普生，洋红 淡洋红 蓝色等</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瓶</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电动推子</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耐热刀头，防夹发、5档调节，可充电，刀头旋转式调节，可水洗，低噪音</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抽纸盒</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25*13*10cm (±2cm)塑料材质 可壁挂</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泡脚袋</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65*55cm，隔离细菌，PE材质，韧性强，耐温</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输液框（1）</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40cm*13cm*8.5cm，(±5mm)带床号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输液框（2）</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15cm*10cm*8cm，(±5mm)带床号</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风琴包</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130*25*2cm（±5cm），多格，A4，站立伸缩，便携提手</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数字章</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数字1至10， 11.5*18*37mm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206</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激光翻页笔</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≥100m远控、≥360mAh锂电池，红光</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支</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207</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灭蝇灯</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35*25*5cm(±5cm）诱捕式</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208</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坐便椅</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天然实木，加粗承重，40*35cm（±5cm）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55</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209</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桌面抽屉收纳盒</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塑料，40*35*25cm(±5cm)四层抽屉</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210</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吸盘毛巾架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65*20*10cm(±5cm)双层不锈钢支架，吸盘式固定</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211</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应急灯</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手持 可储电 LED灯光源功率：10W 3000mAh</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42</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212</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泡脚桶</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高26，木质桶加厚，45码内脚37cm*29cm*26cm，材质香柏木，外围带桶箍</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213</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雨伞</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黑色70CM*8K，直杆黑胶木柄伞，伞布直径不小于140cm</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把</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214</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蚊帐</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带铝合金落地支杆，蚊帐尺寸需与90*200mm的病床大小匹配，左右侧开口</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36</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215</w:t>
                  </w:r>
                </w:p>
              </w:tc>
              <w:tc>
                <w:tcPr>
                  <w:tcW w:type="dxa" w:w="4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床头卡</w:t>
                  </w:r>
                </w:p>
              </w:tc>
              <w:tc>
                <w:tcPr>
                  <w:tcW w:type="dxa" w:w="8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加厚卡纸 8.8*3.8cm 双面</w:t>
                  </w: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0.045</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产品质量要求：</w:t>
            </w:r>
          </w:p>
          <w:p>
            <w:pPr>
              <w:pStyle w:val="null3"/>
              <w:jc w:val="both"/>
            </w:pPr>
            <w:r>
              <w:rPr>
                <w:rFonts w:ascii="仿宋_GB2312" w:hAnsi="仿宋_GB2312" w:cs="仿宋_GB2312" w:eastAsia="仿宋_GB2312"/>
                <w:sz w:val="28"/>
                <w:b/>
              </w:rPr>
              <w:t>1.</w:t>
            </w:r>
            <w:r>
              <w:rPr>
                <w:rFonts w:ascii="仿宋_GB2312" w:hAnsi="仿宋_GB2312" w:cs="仿宋_GB2312" w:eastAsia="仿宋_GB2312"/>
                <w:sz w:val="28"/>
              </w:rPr>
              <w:t>所有</w:t>
            </w:r>
            <w:r>
              <w:rPr>
                <w:rFonts w:ascii="仿宋_GB2312" w:hAnsi="仿宋_GB2312" w:cs="仿宋_GB2312" w:eastAsia="仿宋_GB2312"/>
                <w:sz w:val="28"/>
              </w:rPr>
              <w:t>产品</w:t>
            </w:r>
            <w:r>
              <w:rPr>
                <w:rFonts w:ascii="仿宋_GB2312" w:hAnsi="仿宋_GB2312" w:cs="仿宋_GB2312" w:eastAsia="仿宋_GB2312"/>
                <w:sz w:val="28"/>
              </w:rPr>
              <w:t>必须符合国家相关法律或行业标准的相关规定。</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所有产品的做工、材质要与采购人要求一致，大小规格要严格按行业规范标准执行，存在争议时采购人享有最终解释权。</w:t>
            </w:r>
          </w:p>
          <w:p>
            <w:pPr>
              <w:pStyle w:val="null3"/>
              <w:jc w:val="left"/>
            </w:pPr>
            <w:r>
              <w:rPr>
                <w:rFonts w:ascii="仿宋_GB2312" w:hAnsi="仿宋_GB2312" w:cs="仿宋_GB2312" w:eastAsia="仿宋_GB2312"/>
                <w:sz w:val="28"/>
              </w:rPr>
              <w:t>3.投标人所提供产品需为正品，不得提供不符合要求的假冒伪劣产品。</w:t>
            </w:r>
          </w:p>
          <w:p>
            <w:pPr>
              <w:pStyle w:val="null3"/>
              <w:jc w:val="both"/>
            </w:pPr>
            <w:r>
              <w:rPr>
                <w:rFonts w:ascii="仿宋_GB2312" w:hAnsi="仿宋_GB2312" w:cs="仿宋_GB2312" w:eastAsia="仿宋_GB2312"/>
                <w:sz w:val="28"/>
                <w:b/>
              </w:rPr>
              <w:t>售后服务：</w:t>
            </w:r>
            <w:r>
              <w:rPr>
                <w:rFonts w:ascii="仿宋_GB2312" w:hAnsi="仿宋_GB2312" w:cs="仿宋_GB2312" w:eastAsia="仿宋_GB2312"/>
                <w:sz w:val="28"/>
              </w:rPr>
              <w:t>供应商应提供良好的售后服务支持，在质保期内发生质量问题的产品，供应商须在接到通知后</w:t>
            </w:r>
            <w:r>
              <w:rPr>
                <w:rFonts w:ascii="仿宋_GB2312" w:hAnsi="仿宋_GB2312" w:cs="仿宋_GB2312" w:eastAsia="仿宋_GB2312"/>
                <w:sz w:val="28"/>
              </w:rPr>
              <w:t>48小时以内进行更换或退换，确保所提供的产品合格率达到100%，并对造成的损失承担赔偿责任。供货商必须制定安全、有效的特殊情况应急预案，以确保产品的供给。供货商提供的各类产品须有产品合格证。</w:t>
            </w:r>
          </w:p>
          <w:p>
            <w:pPr>
              <w:pStyle w:val="null3"/>
              <w:jc w:val="both"/>
            </w:pPr>
            <w:r>
              <w:rPr>
                <w:rFonts w:ascii="仿宋_GB2312" w:hAnsi="仿宋_GB2312" w:cs="仿宋_GB2312" w:eastAsia="仿宋_GB2312"/>
                <w:sz w:val="28"/>
                <w:b/>
              </w:rPr>
              <w:t>其他要求：</w:t>
            </w:r>
          </w:p>
          <w:p>
            <w:pPr>
              <w:pStyle w:val="null3"/>
              <w:jc w:val="both"/>
            </w:pPr>
            <w:r>
              <w:rPr>
                <w:rFonts w:ascii="仿宋_GB2312" w:hAnsi="仿宋_GB2312" w:cs="仿宋_GB2312" w:eastAsia="仿宋_GB2312"/>
                <w:sz w:val="28"/>
                <w:b/>
              </w:rPr>
              <w:t>1.</w:t>
            </w:r>
            <w:r>
              <w:rPr>
                <w:rFonts w:ascii="仿宋_GB2312" w:hAnsi="仿宋_GB2312" w:cs="仿宋_GB2312" w:eastAsia="仿宋_GB2312"/>
                <w:sz w:val="28"/>
              </w:rPr>
              <w:t>投标人必须制定安全、有效的应急预案，以确保产品的供给，并在投标文件中列明。</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货物交货时，附品种、数量清单。</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投标人需自有库房，常用品类有一定库存，以保证货物充足稳定供给。</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投标人应具有一定量自有运输车辆，保证货品快捷安全运输。</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商务要求</w:t>
            </w:r>
          </w:p>
          <w:p>
            <w:pPr>
              <w:pStyle w:val="null3"/>
              <w:jc w:val="both"/>
            </w:pPr>
            <w:r>
              <w:rPr>
                <w:rFonts w:ascii="仿宋_GB2312" w:hAnsi="仿宋_GB2312" w:cs="仿宋_GB2312" w:eastAsia="仿宋_GB2312"/>
                <w:sz w:val="28"/>
              </w:rPr>
              <w:t>一、</w:t>
            </w:r>
            <w:r>
              <w:rPr>
                <w:rFonts w:ascii="仿宋_GB2312" w:hAnsi="仿宋_GB2312" w:cs="仿宋_GB2312" w:eastAsia="仿宋_GB2312"/>
                <w:sz w:val="28"/>
              </w:rPr>
              <w:t>交货期</w:t>
            </w:r>
            <w:r>
              <w:rPr>
                <w:rFonts w:ascii="仿宋_GB2312" w:hAnsi="仿宋_GB2312" w:cs="仿宋_GB2312" w:eastAsia="仿宋_GB2312"/>
                <w:sz w:val="28"/>
              </w:rPr>
              <w:t>：</w:t>
            </w:r>
            <w:r>
              <w:rPr>
                <w:rFonts w:ascii="仿宋_GB2312" w:hAnsi="仿宋_GB2312" w:cs="仿宋_GB2312" w:eastAsia="仿宋_GB2312"/>
                <w:sz w:val="28"/>
              </w:rPr>
              <w:t>自合同签订之日起一年，按需配送</w:t>
            </w:r>
            <w:r>
              <w:rPr>
                <w:rFonts w:ascii="仿宋_GB2312" w:hAnsi="仿宋_GB2312" w:cs="仿宋_GB2312" w:eastAsia="仿宋_GB2312"/>
                <w:sz w:val="28"/>
              </w:rPr>
              <w:t>，</w:t>
            </w:r>
            <w:r>
              <w:rPr>
                <w:rFonts w:ascii="仿宋_GB2312" w:hAnsi="仿宋_GB2312" w:cs="仿宋_GB2312" w:eastAsia="仿宋_GB2312"/>
                <w:sz w:val="28"/>
              </w:rPr>
              <w:t>接到采购人订单之日起</w:t>
            </w:r>
            <w:r>
              <w:rPr>
                <w:rFonts w:ascii="仿宋_GB2312" w:hAnsi="仿宋_GB2312" w:cs="仿宋_GB2312" w:eastAsia="仿宋_GB2312"/>
                <w:sz w:val="28"/>
              </w:rPr>
              <w:t>3日内</w:t>
            </w:r>
            <w:r>
              <w:rPr>
                <w:rFonts w:ascii="仿宋_GB2312" w:hAnsi="仿宋_GB2312" w:cs="仿宋_GB2312" w:eastAsia="仿宋_GB2312"/>
                <w:sz w:val="28"/>
              </w:rPr>
              <w:t>完成供货</w:t>
            </w:r>
            <w:r>
              <w:rPr>
                <w:rFonts w:ascii="仿宋_GB2312" w:hAnsi="仿宋_GB2312" w:cs="仿宋_GB2312" w:eastAsia="仿宋_GB2312"/>
                <w:sz w:val="28"/>
              </w:rPr>
              <w:t>。（急用品需按采购人要求时限送达）。</w:t>
            </w:r>
          </w:p>
          <w:p>
            <w:pPr>
              <w:pStyle w:val="null3"/>
              <w:jc w:val="both"/>
            </w:pPr>
            <w:r>
              <w:rPr>
                <w:rFonts w:ascii="仿宋_GB2312" w:hAnsi="仿宋_GB2312" w:cs="仿宋_GB2312" w:eastAsia="仿宋_GB2312"/>
                <w:sz w:val="28"/>
              </w:rPr>
              <w:t>二、交货</w:t>
            </w:r>
            <w:r>
              <w:rPr>
                <w:rFonts w:ascii="仿宋_GB2312" w:hAnsi="仿宋_GB2312" w:cs="仿宋_GB2312" w:eastAsia="仿宋_GB2312"/>
                <w:sz w:val="28"/>
              </w:rPr>
              <w:t>地点</w:t>
            </w:r>
            <w:r>
              <w:rPr>
                <w:rFonts w:ascii="仿宋_GB2312" w:hAnsi="仿宋_GB2312" w:cs="仿宋_GB2312" w:eastAsia="仿宋_GB2312"/>
                <w:sz w:val="28"/>
              </w:rPr>
              <w:t>：</w:t>
            </w:r>
            <w:r>
              <w:rPr>
                <w:rFonts w:ascii="仿宋_GB2312" w:hAnsi="仿宋_GB2312" w:cs="仿宋_GB2312" w:eastAsia="仿宋_GB2312"/>
                <w:sz w:val="28"/>
              </w:rPr>
              <w:t>采购人指定地点</w:t>
            </w:r>
          </w:p>
          <w:p>
            <w:pPr>
              <w:pStyle w:val="null3"/>
              <w:jc w:val="left"/>
            </w:pPr>
            <w:r>
              <w:rPr>
                <w:rFonts w:ascii="仿宋_GB2312" w:hAnsi="仿宋_GB2312" w:cs="仿宋_GB2312" w:eastAsia="仿宋_GB2312"/>
                <w:sz w:val="28"/>
              </w:rPr>
              <w:t>三、质保期：所有供货产品自收货之日起质保</w:t>
            </w:r>
            <w:r>
              <w:rPr>
                <w:rFonts w:ascii="仿宋_GB2312" w:hAnsi="仿宋_GB2312" w:cs="仿宋_GB2312" w:eastAsia="仿宋_GB2312"/>
                <w:sz w:val="28"/>
              </w:rPr>
              <w:t>12个月。（消耗品除外）</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、款项结算</w:t>
            </w:r>
          </w:p>
          <w:p>
            <w:pPr>
              <w:pStyle w:val="null3"/>
              <w:jc w:val="both"/>
            </w:pPr>
            <w:r>
              <w:rPr>
                <w:rFonts w:ascii="仿宋_GB2312" w:hAnsi="仿宋_GB2312" w:cs="仿宋_GB2312" w:eastAsia="仿宋_GB2312"/>
                <w:sz w:val="28"/>
              </w:rPr>
              <w:t>付款条件说明：</w:t>
            </w:r>
          </w:p>
          <w:p>
            <w:pPr>
              <w:pStyle w:val="null3"/>
              <w:jc w:val="both"/>
            </w:pPr>
            <w:r>
              <w:rPr>
                <w:rFonts w:ascii="仿宋_GB2312" w:hAnsi="仿宋_GB2312" w:cs="仿宋_GB2312" w:eastAsia="仿宋_GB2312"/>
                <w:sz w:val="28"/>
              </w:rPr>
              <w:t>甲方根据每月需求，按月进行分批采购，分批付款。每批次产品经甲方确认合格后，按乙方开具发票金额据实结算，达到付款条件起</w:t>
            </w:r>
            <w:r>
              <w:rPr>
                <w:rFonts w:ascii="仿宋_GB2312" w:hAnsi="仿宋_GB2312" w:cs="仿宋_GB2312" w:eastAsia="仿宋_GB2312"/>
                <w:sz w:val="28"/>
              </w:rPr>
              <w:t>30</w:t>
            </w:r>
            <w:r>
              <w:rPr>
                <w:rFonts w:ascii="仿宋_GB2312" w:hAnsi="仿宋_GB2312" w:cs="仿宋_GB2312" w:eastAsia="仿宋_GB2312"/>
                <w:sz w:val="28"/>
              </w:rPr>
              <w:t>日内，支付该批次货款金额的</w:t>
            </w:r>
            <w:r>
              <w:rPr>
                <w:rFonts w:ascii="仿宋_GB2312" w:hAnsi="仿宋_GB2312" w:cs="仿宋_GB2312" w:eastAsia="仿宋_GB2312"/>
                <w:sz w:val="28"/>
              </w:rPr>
              <w:t>100.00%。</w:t>
            </w:r>
          </w:p>
          <w:p>
            <w:pPr>
              <w:pStyle w:val="null3"/>
              <w:jc w:val="both"/>
            </w:pPr>
            <w:r>
              <w:rPr>
                <w:rFonts w:ascii="仿宋_GB2312" w:hAnsi="仿宋_GB2312" w:cs="仿宋_GB2312" w:eastAsia="仿宋_GB2312"/>
                <w:sz w:val="28"/>
              </w:rPr>
              <w:t>支付方式：银行转账。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自合同签订之日起一年，按需配送，接到采购人订单之日起3日内完成供货。（急用品需按采购人要求时限送达）。</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甲方根据每月需求，按月进行分批采购，分批付款。每批次产品经甲方确认合格后，按乙方开具发票金额据实结算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所有供货物品必须符合国家或者行业质量标准。 包装检查：检查产品是否按规定数量入箱/打包，不允许有混版、少装、混装现象。检查产品是否有合格证，内容包括产品名称、规格、数量、生产厂家、生产日期及保质期等。 外观检查：检查产品颜色或款式是否正确，材质无误。 字体、图案应清晰、正确，无错印、漏印，无油墨污染、色泽基本一致。 产品表面应无变形、受损、刮伤、污迹、断裂、缺口、破裂、凹/压痕、锈迹、毛边、漏液、脱漆等问题。产品无非功能性的尖点锐边。 结构尺寸检查： 检查产品结构是否牢固、装配良好、无部件松动，比如文件夹的铆钉、订书机的接头处铰链等。检查产品尺寸型号是否符合申购和使用要求，不允许超出通用公差范围。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按照谈判文件、响应文件及合同相关条款</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未按合同约定的时间交货，供应商应向采购方支付逾期违约金。如果逾期时间过长，严重影响采购方的正常办公需求，采购方有权解除合同，并要求供应商返还已支付的款项，同时供应商还需承担因此给采购方造成的损失。 如果供应商提供的办公用品质量不符合合同约定的标准，如纸张薄厚不均、笔书写不流畅、订书机易损坏等，供应商应负责在规定时间内更换合格产品，并承担由此产生的运输费用等相关费用。若因质量问题给采购方造成损失，如影响办公效率、导致文件损坏等，供应商应承担相应的赔偿责任。 供应商未按照合同约定提供售后服务，如维修不及时、退换货不顺畅等，应承担违约责任。采购方可以要求供应商在规定时间内改进服务，若供应商仍未履行义务，采购方有权扣除部分合同款项作为违约金。</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第三章 谈判项目技术、服务、商务及技术要求均为实质性条款，任意一条不满足将被否决投标。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供应商需在项目电子化交易系统中按要求填写《响应函》完成承诺并进行电子签章。1）具有独立承担民事责任的能力。提供注册登记凭证 （营业执照、其他组织经营的合法凭证，自然人的提供身份证明文件）。 2）具有良好的商业信誉和健全的财务会计制度 提供经审计的2023 年度或2024年财务报告（包括四表一注，即资产负债表、利润表、现金流量表、所有者权益变动表及其附注，财务报告中附二维码），且 无反对意见；事业法人提供部门决算报告；/或在投标截止日期前六个月内其基本开户银行出具的资信证明（附《基本存款账户信息》或《 银行开户许可证》复印件）； /或财政部门认可的政府采购专业担保机构出具的投标担保函；/ 或表明具有良好的商业信誉和健全的财务会计制度的诚信声明；以上四种形式的资料提供任何一种即可。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提供缴费所属日期为投标截止时间前12个月内任一月份（投标截止时间当月不计 入）的缴费凭据或社保机关出具的缴费证明/在法规范围内不需提供的应出具书面说明和证明文件/或具有依法缴纳社保的诚信声明；以上三种形式的资料提供任何一种即可。 6）参加政府 采购活动前3年内在经营活动中没有重大违法记录的书面声明。 7）法人代表授权书（原件）， 同时须提供被授权人投标截止时间前3个月内（ 投标截止时间当月不计入）的社保缴费凭据或社保机关出具的缴费证明。</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谈判响应文件的完整性审查</w:t>
            </w:r>
          </w:p>
        </w:tc>
        <w:tc>
          <w:tcPr>
            <w:tcW w:type="dxa" w:w="3322"/>
          </w:tcPr>
          <w:p>
            <w:pPr>
              <w:pStyle w:val="null3"/>
            </w:pPr>
            <w:r>
              <w:rPr>
                <w:rFonts w:ascii="仿宋_GB2312" w:hAnsi="仿宋_GB2312" w:cs="仿宋_GB2312" w:eastAsia="仿宋_GB2312"/>
              </w:rPr>
              <w:t>谈判响应文件是否按照谈判文件要求的格式编写。</w:t>
            </w:r>
          </w:p>
        </w:tc>
        <w:tc>
          <w:tcPr>
            <w:tcW w:type="dxa" w:w="1661"/>
          </w:tcPr>
          <w:p>
            <w:pPr>
              <w:pStyle w:val="null3"/>
            </w:pPr>
            <w:r>
              <w:rPr>
                <w:rFonts w:ascii="仿宋_GB2312" w:hAnsi="仿宋_GB2312" w:cs="仿宋_GB2312" w:eastAsia="仿宋_GB2312"/>
              </w:rPr>
              <w:t>响应文件封面 技术商务部分.docx 产品技术参数表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谈判响应文件的有效性审查</w:t>
            </w:r>
          </w:p>
        </w:tc>
        <w:tc>
          <w:tcPr>
            <w:tcW w:type="dxa" w:w="3322"/>
          </w:tcPr>
          <w:p>
            <w:pPr>
              <w:pStyle w:val="null3"/>
            </w:pPr>
            <w:r>
              <w:rPr>
                <w:rFonts w:ascii="仿宋_GB2312" w:hAnsi="仿宋_GB2312" w:cs="仿宋_GB2312" w:eastAsia="仿宋_GB2312"/>
              </w:rPr>
              <w:t>1、谈判响应文件的签署、加盖印章是否有效； 2、提供的各种证明文件、数据、资料是否有效 。</w:t>
            </w:r>
          </w:p>
        </w:tc>
        <w:tc>
          <w:tcPr>
            <w:tcW w:type="dxa" w:w="1661"/>
          </w:tcPr>
          <w:p>
            <w:pPr>
              <w:pStyle w:val="null3"/>
            </w:pPr>
            <w:r>
              <w:rPr>
                <w:rFonts w:ascii="仿宋_GB2312" w:hAnsi="仿宋_GB2312" w:cs="仿宋_GB2312" w:eastAsia="仿宋_GB2312"/>
              </w:rPr>
              <w:t>技术商务部分.docx 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谈判响应文件的响应性审查</w:t>
            </w:r>
          </w:p>
        </w:tc>
        <w:tc>
          <w:tcPr>
            <w:tcW w:type="dxa" w:w="3322"/>
          </w:tcPr>
          <w:p>
            <w:pPr>
              <w:pStyle w:val="null3"/>
            </w:pPr>
            <w:r>
              <w:rPr>
                <w:rFonts w:ascii="仿宋_GB2312" w:hAnsi="仿宋_GB2312" w:cs="仿宋_GB2312" w:eastAsia="仿宋_GB2312"/>
              </w:rPr>
              <w:t>1、谈判报价是否超过采购预算； 2、谈判报价有效期是否符合谈判文件的要求； 3、响应文件内容是否符合国家法律法规； 4、是否响应实质性条款。</w:t>
            </w:r>
          </w:p>
        </w:tc>
        <w:tc>
          <w:tcPr>
            <w:tcW w:type="dxa" w:w="1661"/>
          </w:tcPr>
          <w:p>
            <w:pPr>
              <w:pStyle w:val="null3"/>
            </w:pPr>
            <w:r>
              <w:rPr>
                <w:rFonts w:ascii="仿宋_GB2312" w:hAnsi="仿宋_GB2312" w:cs="仿宋_GB2312" w:eastAsia="仿宋_GB2312"/>
              </w:rPr>
              <w:t>技术商务部分.docx 响应文件封面 产品技术参数表 商务应答表 标的清单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最终报价相同时，优先比较核心产品单价，优先推荐报价低者为成交候选供应商；若核心产品单价仍相同，则按采购文件第三章中产品名称序号顺序依次比较相应单价，直至分出最低单价，优先推荐报价低者为成交候选供应商；若所有产品对应单价均完全一致，则通过随机抽签方式确定最终成交供应商。</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详见附件：西安市第八医院办公用品采购项目合同.docx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