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版本号：TZZB-Z-2025280C20251031001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2026年干警体检采购项目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TZZB-Z-2025280C</w:t>
      </w:r>
      <w:r>
        <w:br/>
      </w:r>
      <w:r>
        <w:br/>
      </w:r>
      <w:r>
        <w:br/>
      </w:r>
    </w:p>
    <w:p>
      <w:pPr>
        <w:pStyle w:val="null3"/>
        <w:jc w:val="center"/>
        <w:outlineLvl w:val="2"/>
      </w:pPr>
      <w:r>
        <w:rPr>
          <w:rFonts w:ascii="仿宋_GB2312" w:hAnsi="仿宋_GB2312" w:cs="仿宋_GB2312" w:eastAsia="仿宋_GB2312"/>
          <w:sz w:val="28"/>
          <w:b/>
        </w:rPr>
        <w:t>西安市中级人民法院（本级）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西安市中级人民法院（本级）</w:t>
      </w:r>
      <w:r>
        <w:rPr>
          <w:rFonts w:ascii="仿宋_GB2312" w:hAnsi="仿宋_GB2312" w:cs="仿宋_GB2312" w:eastAsia="仿宋_GB2312"/>
        </w:rPr>
        <w:t>委托，拟对</w:t>
      </w:r>
      <w:r>
        <w:rPr>
          <w:rFonts w:ascii="仿宋_GB2312" w:hAnsi="仿宋_GB2312" w:cs="仿宋_GB2312" w:eastAsia="仿宋_GB2312"/>
        </w:rPr>
        <w:t>2026年干警体检采购项目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TZZB-Z-2025280C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2026年干警体检采购项目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陕西省西安市中级人民法院2026年干警体检采购项目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5、社保缴纳证明：提供自2024年10月1日以来已缴存的任意1个月的社会保障资金缴存单据或社保机构开具的社会保险参保缴费情况证明；依法不需要缴纳社会保障资金的供应商应提供相关证明文件。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10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9、供应商资质：供应商须具备卫生行政部门颁发的《医疗机构执业许可证》及《放射诊疗许可证》。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西安市中级人民法院（本级）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西安市未央区二环北路东段139号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029-87658266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代理服务费缴纳账号：同正项目管理有限公司 开户银行：中国建设银行股份有限公司西安长庆支行 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西安市中级人民法院（本级）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西安市中级人民法院（本级）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西安市中级人民法院（本级）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陕西省西安市中级人民法院</w:t>
      </w:r>
      <w:r>
        <w:rPr>
          <w:rFonts w:ascii="仿宋_GB2312" w:hAnsi="仿宋_GB2312" w:cs="仿宋_GB2312" w:eastAsia="仿宋_GB2312"/>
          <w:sz w:val="24"/>
        </w:rPr>
        <w:t>2026年干警体检采购项目，</w:t>
      </w:r>
      <w:r>
        <w:rPr>
          <w:rFonts w:ascii="仿宋_GB2312" w:hAnsi="仿宋_GB2312" w:cs="仿宋_GB2312" w:eastAsia="仿宋_GB2312"/>
          <w:sz w:val="24"/>
        </w:rPr>
        <w:t>本次体检人数共</w:t>
      </w:r>
      <w:r>
        <w:rPr>
          <w:rFonts w:ascii="仿宋_GB2312" w:hAnsi="仿宋_GB2312" w:cs="仿宋_GB2312" w:eastAsia="仿宋_GB2312"/>
          <w:sz w:val="24"/>
        </w:rPr>
        <w:t>1049人，其中：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1）招聘人员371人，其中男性117人、女性254人。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2）正式干警418人，男性271人，女性147人。其中：</w:t>
      </w:r>
    </w:p>
    <w:p>
      <w:pPr>
        <w:pStyle w:val="null3"/>
        <w:ind w:firstLine="480"/>
        <w:jc w:val="left"/>
      </w:pPr>
      <w:r>
        <w:rPr>
          <w:rFonts w:ascii="仿宋_GB2312" w:hAnsi="仿宋_GB2312" w:cs="仿宋_GB2312" w:eastAsia="仿宋_GB2312"/>
          <w:sz w:val="24"/>
        </w:rPr>
        <w:t>①40岁以下男性81人</w:t>
      </w:r>
    </w:p>
    <w:p>
      <w:pPr>
        <w:pStyle w:val="null3"/>
        <w:ind w:firstLine="480"/>
        <w:jc w:val="left"/>
      </w:pPr>
      <w:r>
        <w:rPr>
          <w:rFonts w:ascii="仿宋_GB2312" w:hAnsi="仿宋_GB2312" w:cs="仿宋_GB2312" w:eastAsia="仿宋_GB2312"/>
          <w:sz w:val="24"/>
        </w:rPr>
        <w:t>②40岁以上男性190人</w:t>
      </w:r>
    </w:p>
    <w:p>
      <w:pPr>
        <w:pStyle w:val="null3"/>
        <w:ind w:firstLine="480"/>
        <w:jc w:val="left"/>
      </w:pPr>
      <w:r>
        <w:rPr>
          <w:rFonts w:ascii="仿宋_GB2312" w:hAnsi="仿宋_GB2312" w:cs="仿宋_GB2312" w:eastAsia="仿宋_GB2312"/>
          <w:sz w:val="24"/>
        </w:rPr>
        <w:t>③40岁以下女性52人</w:t>
      </w:r>
    </w:p>
    <w:p>
      <w:pPr>
        <w:pStyle w:val="null3"/>
        <w:ind w:firstLine="480"/>
        <w:jc w:val="left"/>
      </w:pPr>
      <w:r>
        <w:rPr>
          <w:rFonts w:ascii="仿宋_GB2312" w:hAnsi="仿宋_GB2312" w:cs="仿宋_GB2312" w:eastAsia="仿宋_GB2312"/>
          <w:sz w:val="24"/>
        </w:rPr>
        <w:t>④40岁以上女性95人</w:t>
      </w:r>
    </w:p>
    <w:p>
      <w:pPr>
        <w:pStyle w:val="null3"/>
        <w:spacing w:after="120"/>
        <w:ind w:firstLine="480"/>
        <w:jc w:val="both"/>
      </w:pPr>
      <w:r>
        <w:rPr>
          <w:rFonts w:ascii="仿宋_GB2312" w:hAnsi="仿宋_GB2312" w:cs="仿宋_GB2312" w:eastAsia="仿宋_GB2312"/>
          <w:sz w:val="24"/>
        </w:rPr>
        <w:t>⑤未婚女性共有20人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3）退休干部260人，其中男性196人、女性64人。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2026年干警体检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标的名称：2026年干警体检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检查项目</w:t>
            </w:r>
          </w:p>
          <w:tbl>
            <w:tblPr>
              <w:tblInd w:type="dxa" w:w="90"/>
              <w:tblBorders>
                <w:top w:val="none" w:color="000000" w:sz="4"/>
                <w:left w:val="none" w:color="000000" w:sz="4"/>
                <w:bottom w:val="none" w:color="000000" w:sz="4"/>
                <w:right w:val="none" w:color="000000" w:sz="4"/>
                <w:insideH w:val="none"/>
                <w:insideV w:val="none"/>
              </w:tblBorders>
            </w:tblPr>
            <w:tblGrid>
              <w:gridCol w:w="155"/>
              <w:gridCol w:w="551"/>
              <w:gridCol w:w="215"/>
              <w:gridCol w:w="230"/>
              <w:gridCol w:w="215"/>
              <w:gridCol w:w="225"/>
              <w:gridCol w:w="235"/>
              <w:gridCol w:w="225"/>
              <w:gridCol w:w="230"/>
              <w:gridCol w:w="240"/>
            </w:tblGrid>
            <w:tr>
              <w:tc>
                <w:tcPr>
                  <w:tcW w:type="dxa" w:w="155"/>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551"/>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分组</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项目</w:t>
                  </w:r>
                </w:p>
              </w:tc>
              <w:tc>
                <w:tcPr>
                  <w:tcW w:type="dxa" w:w="445"/>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招聘</w:t>
                  </w:r>
                </w:p>
              </w:tc>
              <w:tc>
                <w:tcPr>
                  <w:tcW w:type="dxa" w:w="675"/>
                  <w:gridSpan w:val="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40岁以下</w:t>
                  </w:r>
                </w:p>
              </w:tc>
              <w:tc>
                <w:tcPr>
                  <w:tcW w:type="dxa" w:w="695"/>
                  <w:gridSpan w:val="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40岁以上</w:t>
                  </w:r>
                </w:p>
              </w:tc>
            </w:tr>
            <w:tr>
              <w:tc>
                <w:tcPr>
                  <w:tcW w:type="dxa" w:w="155"/>
                  <w:vMerge/>
                  <w:tcBorders>
                    <w:top w:val="single" w:color="000000" w:sz="4"/>
                    <w:left w:val="single" w:color="000000" w:sz="4"/>
                    <w:bottom w:val="none" w:color="000000" w:sz="4"/>
                    <w:right w:val="single" w:color="000000" w:sz="4"/>
                  </w:tcBorders>
                </w:tcPr>
                <w:p/>
              </w:tc>
              <w:tc>
                <w:tcPr>
                  <w:tcW w:type="dxa" w:w="551"/>
                  <w:vMerge/>
                  <w:tcBorders>
                    <w:top w:val="single" w:color="000000" w:sz="4"/>
                    <w:left w:val="none" w:color="000000" w:sz="4"/>
                    <w:bottom w:val="none" w:color="000000" w:sz="4"/>
                    <w:right w:val="single" w:color="000000" w:sz="4"/>
                  </w:tcBorders>
                </w:tc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男性</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女性</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男性</w:t>
                  </w: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女已婚</w:t>
                  </w:r>
                </w:p>
              </w:tc>
              <w:tc>
                <w:tcPr>
                  <w:tcW w:type="dxa" w:w="2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女未婚</w:t>
                  </w:r>
                </w:p>
              </w:tc>
              <w:tc>
                <w:tcPr>
                  <w:tcW w:type="dxa" w:w="2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男性</w:t>
                  </w:r>
                </w:p>
              </w:tc>
              <w:tc>
                <w:tcPr>
                  <w:tcW w:type="dxa" w:w="2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女已婚</w:t>
                  </w:r>
                </w:p>
              </w:tc>
              <w:tc>
                <w:tcPr>
                  <w:tcW w:type="dxa" w:w="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女未婚</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一般检查</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体脂肪率</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男外科</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女外科</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r>
                    <w:rPr>
                      <w:rFonts w:ascii="仿宋_GB2312" w:hAnsi="仿宋_GB2312" w:cs="仿宋_GB2312" w:eastAsia="仿宋_GB2312"/>
                      <w:sz w:val="24"/>
                    </w:rPr>
                    <w:t>(含白带常规)</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宫颈</w:t>
                  </w:r>
                  <w:r>
                    <w:rPr>
                      <w:rFonts w:ascii="仿宋_GB2312" w:hAnsi="仿宋_GB2312" w:cs="仿宋_GB2312" w:eastAsia="仿宋_GB2312"/>
                      <w:sz w:val="24"/>
                    </w:rPr>
                    <w:t>TCT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人乳头瘤病毒分型</w:t>
                  </w:r>
                  <w:r>
                    <w:rPr>
                      <w:rFonts w:ascii="仿宋_GB2312" w:hAnsi="仿宋_GB2312" w:cs="仿宋_GB2312" w:eastAsia="仿宋_GB2312"/>
                      <w:sz w:val="24"/>
                    </w:rPr>
                    <w:t xml:space="preserve">   </w:t>
                  </w:r>
                </w:p>
                <w:p>
                  <w:pPr>
                    <w:pStyle w:val="null3"/>
                    <w:jc w:val="center"/>
                  </w:pPr>
                  <w:r>
                    <w:rPr>
                      <w:rFonts w:ascii="仿宋_GB2312" w:hAnsi="仿宋_GB2312" w:cs="仿宋_GB2312" w:eastAsia="仿宋_GB2312"/>
                      <w:sz w:val="24"/>
                    </w:rPr>
                    <w:t>(HPV分型)</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内科</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眼科</w:t>
                  </w:r>
                  <w:r>
                    <w:rPr>
                      <w:rFonts w:ascii="仿宋_GB2312" w:hAnsi="仿宋_GB2312" w:cs="仿宋_GB2312" w:eastAsia="仿宋_GB2312"/>
                      <w:sz w:val="24"/>
                    </w:rPr>
                    <w:t xml:space="preserve">                       </w:t>
                  </w:r>
                  <w:r>
                    <w:rPr>
                      <w:rFonts w:ascii="仿宋_GB2312" w:hAnsi="仿宋_GB2312" w:cs="仿宋_GB2312" w:eastAsia="仿宋_GB2312"/>
                      <w:sz w:val="24"/>
                    </w:rPr>
                    <w:t>(视力外眼裂隙灯)</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非接触性眼压测量</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眼底镜</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耳鼻咽科</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双能骨密度检查</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心电图</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经颅多普勒</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头部</w:t>
                  </w:r>
                  <w:r>
                    <w:rPr>
                      <w:rFonts w:ascii="仿宋_GB2312" w:hAnsi="仿宋_GB2312" w:cs="仿宋_GB2312" w:eastAsia="仿宋_GB2312"/>
                      <w:sz w:val="24"/>
                    </w:rPr>
                    <w:t>CT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胸部正位</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颈椎侧位</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腹部彩超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乳腺彩超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子宫附件彩超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泌尿系统彩超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心脏彩超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颈动脉彩超</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血常规</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肝功三项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胆红素三项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肝功十一项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肾功三项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空腹血糖</w:t>
                  </w:r>
                  <w:r>
                    <w:br/>
                  </w:r>
                  <w:r>
                    <w:rPr>
                      <w:rFonts w:ascii="仿宋_GB2312" w:hAnsi="仿宋_GB2312" w:cs="仿宋_GB2312" w:eastAsia="仿宋_GB2312"/>
                      <w:sz w:val="24"/>
                    </w:rPr>
                    <w:t>(FBG)</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糖化血红蛋白</w:t>
                  </w:r>
                  <w:r>
                    <w:br/>
                  </w:r>
                  <w:r>
                    <w:rPr>
                      <w:rFonts w:ascii="仿宋_GB2312" w:hAnsi="仿宋_GB2312" w:cs="仿宋_GB2312" w:eastAsia="仿宋_GB2312"/>
                      <w:sz w:val="24"/>
                    </w:rPr>
                    <w:t>(HbA1C)</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血脂四项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血脂七项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幽门螺杆菌检测</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(C13呼气试验)</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乙肝五项定性测定</w:t>
                  </w:r>
                  <w:r>
                    <w:rPr>
                      <w:rFonts w:ascii="仿宋_GB2312" w:hAnsi="仿宋_GB2312" w:cs="仿宋_GB2312" w:eastAsia="仿宋_GB2312"/>
                      <w:sz w:val="24"/>
                    </w:rPr>
                    <w:t xml:space="preserve">   </w:t>
                  </w:r>
                </w:p>
                <w:p>
                  <w:pPr>
                    <w:pStyle w:val="null3"/>
                    <w:jc w:val="center"/>
                  </w:pPr>
                  <w:r>
                    <w:rPr>
                      <w:rFonts w:ascii="仿宋_GB2312" w:hAnsi="仿宋_GB2312" w:cs="仿宋_GB2312" w:eastAsia="仿宋_GB2312"/>
                      <w:sz w:val="24"/>
                    </w:rPr>
                    <w:t>（需签字同意）</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同型半胱氨酸</w:t>
                  </w:r>
                  <w:r>
                    <w:br/>
                  </w:r>
                  <w:r>
                    <w:rPr>
                      <w:rFonts w:ascii="仿宋_GB2312" w:hAnsi="仿宋_GB2312" w:cs="仿宋_GB2312" w:eastAsia="仿宋_GB2312"/>
                      <w:sz w:val="24"/>
                    </w:rPr>
                    <w:t>(Hcy)</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心肌酶三项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维生素</w:t>
                  </w:r>
                  <w:r>
                    <w:rPr>
                      <w:rFonts w:ascii="仿宋_GB2312" w:hAnsi="仿宋_GB2312" w:cs="仿宋_GB2312" w:eastAsia="仿宋_GB2312"/>
                      <w:sz w:val="24"/>
                    </w:rPr>
                    <w:t>D水平评估</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免疫球蛋白三项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胃泌素</w:t>
                  </w:r>
                  <w:r>
                    <w:rPr>
                      <w:rFonts w:ascii="仿宋_GB2312" w:hAnsi="仿宋_GB2312" w:cs="仿宋_GB2312" w:eastAsia="仿宋_GB2312"/>
                      <w:sz w:val="24"/>
                    </w:rPr>
                    <w:t>17</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胃蛋白酶二项</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甲功三项</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 xml:space="preserve">(FT3 FT4 TSH)）               </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甲胎蛋白定量</w:t>
                  </w:r>
                  <w:r>
                    <w:br/>
                  </w:r>
                  <w:r>
                    <w:rPr>
                      <w:rFonts w:ascii="仿宋_GB2312" w:hAnsi="仿宋_GB2312" w:cs="仿宋_GB2312" w:eastAsia="仿宋_GB2312"/>
                      <w:sz w:val="24"/>
                    </w:rPr>
                    <w:t>(AFP)</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癌胚抗原定量</w:t>
                  </w:r>
                  <w:r>
                    <w:br/>
                  </w:r>
                  <w:r>
                    <w:rPr>
                      <w:rFonts w:ascii="仿宋_GB2312" w:hAnsi="仿宋_GB2312" w:cs="仿宋_GB2312" w:eastAsia="仿宋_GB2312"/>
                      <w:sz w:val="24"/>
                    </w:rPr>
                    <w:t>(CEA)</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5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前列腺肿瘤标志物组合</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癌抗原</w:t>
                  </w:r>
                  <w:r>
                    <w:rPr>
                      <w:rFonts w:ascii="仿宋_GB2312" w:hAnsi="仿宋_GB2312" w:cs="仿宋_GB2312" w:eastAsia="仿宋_GB2312"/>
                      <w:sz w:val="24"/>
                    </w:rPr>
                    <w:t>125(CA125)</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癌抗原</w:t>
                  </w:r>
                  <w:r>
                    <w:rPr>
                      <w:rFonts w:ascii="仿宋_GB2312" w:hAnsi="仿宋_GB2312" w:cs="仿宋_GB2312" w:eastAsia="仿宋_GB2312"/>
                      <w:sz w:val="24"/>
                    </w:rPr>
                    <w:t>15-3(CA15-3)</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综合评估</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营养早餐</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问诊咨询</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检查要求</w:t>
            </w:r>
          </w:p>
          <w:tbl>
            <w:tblPr>
              <w:tblBorders>
                <w:top w:val="none" w:color="000000" w:sz="4"/>
                <w:left w:val="none" w:color="000000" w:sz="4"/>
                <w:bottom w:val="none" w:color="000000" w:sz="4"/>
                <w:right w:val="none" w:color="000000" w:sz="4"/>
                <w:insideH w:val="none"/>
                <w:insideV w:val="none"/>
              </w:tblBorders>
            </w:tblPr>
            <w:tblGrid>
              <w:gridCol w:w="183"/>
              <w:gridCol w:w="449"/>
              <w:gridCol w:w="1919"/>
            </w:tblGrid>
            <w:tr>
              <w:tc>
                <w:tcPr>
                  <w:tcW w:type="dxa" w:w="18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检查项目</w:t>
                  </w:r>
                </w:p>
              </w:tc>
              <w:tc>
                <w:tcPr>
                  <w:tcW w:type="dxa" w:w="19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检查标准</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一般检查</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通过仪器测量人体身高、体重及血压，科学判断体重是否标准、血压是否正常。</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体脂肪率</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运用科学设备精准测量人体脂肪含量，真实了解个体脂肪含量是否在正常范围内，可快速筛检肥胖及隐性肥胖（体重正常，体脂肪含量超标）人群。便于提供针对性营养运动指导方案。</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男外科</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通过体格检查，了解男性皮肤、甲状腺、脊柱四肢、前列腺、外生殖器等重要脏器基本情况。发现常见外科疾病的异常情况或初步排除外科常见疾病。例如甲状腺肿大、湿疹、脊柱侧弯、前列腺肥大、隐睾等。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女外科</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体格检查，了解女性皮肤、甲状腺、脊柱四肢、乳腺、外生殖器等重要脏器基本情况。发现常见外科疾病的异常情况或初步排除外科常见疾病。例如甲状腺肿大、湿疹、脊柱侧弯、乳癌、乳腺良性肿瘤、乳腺增生等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r>
                    <w:rPr>
                      <w:rFonts w:ascii="仿宋_GB2312" w:hAnsi="仿宋_GB2312" w:cs="仿宋_GB2312" w:eastAsia="仿宋_GB2312"/>
                      <w:sz w:val="24"/>
                    </w:rPr>
                    <w:t>(含白带常规)</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妇科触诊及内窥器检查，检查外阴、阴道、子宫颈和子宫、输卵管、卵巢及宫旁组织和盆腔内壁的情况。初步筛查相关部位常见疾病。通过白带检查阴道内有无滴虫、念珠菌，同时还可确定阴道清洁度，是筛查阴道炎的有效手段。</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宫颈</w:t>
                  </w:r>
                  <w:r>
                    <w:rPr>
                      <w:rFonts w:ascii="仿宋_GB2312" w:hAnsi="仿宋_GB2312" w:cs="仿宋_GB2312" w:eastAsia="仿宋_GB2312"/>
                      <w:sz w:val="24"/>
                    </w:rPr>
                    <w:t>TCT</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即液基薄层细胞学检查。是筛查宫颈癌早期病变较先进的检测方法，检出率达</w:t>
                  </w:r>
                  <w:r>
                    <w:rPr>
                      <w:rFonts w:ascii="仿宋_GB2312" w:hAnsi="仿宋_GB2312" w:cs="仿宋_GB2312" w:eastAsia="仿宋_GB2312"/>
                      <w:sz w:val="24"/>
                    </w:rPr>
                    <w:t>95%以上，高于宫颈刮片。同时还能发现部分癌前病变，微生物感染如霉菌、滴虫、病毒、衣原体、人乳头瘤病毒等。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人乳头瘤病毒分型</w:t>
                  </w:r>
                  <w:r>
                    <w:rPr>
                      <w:rFonts w:ascii="仿宋_GB2312" w:hAnsi="仿宋_GB2312" w:cs="仿宋_GB2312" w:eastAsia="仿宋_GB2312"/>
                      <w:sz w:val="24"/>
                    </w:rPr>
                    <w:t xml:space="preserve">   </w:t>
                  </w:r>
                </w:p>
                <w:p>
                  <w:pPr>
                    <w:pStyle w:val="null3"/>
                    <w:jc w:val="center"/>
                  </w:pPr>
                  <w:r>
                    <w:rPr>
                      <w:rFonts w:ascii="仿宋_GB2312" w:hAnsi="仿宋_GB2312" w:cs="仿宋_GB2312" w:eastAsia="仿宋_GB2312"/>
                      <w:sz w:val="24"/>
                    </w:rPr>
                    <w:t>(HPV分型)</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反映是否感染人乳头瘤病毒，并可进行</w:t>
                  </w:r>
                  <w:r>
                    <w:rPr>
                      <w:rFonts w:ascii="仿宋_GB2312" w:hAnsi="仿宋_GB2312" w:cs="仿宋_GB2312" w:eastAsia="仿宋_GB2312"/>
                      <w:sz w:val="24"/>
                    </w:rPr>
                    <w:t>HPV病毒感染分型，为临床筛查宫颈癌提供重要依据。</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内科</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通过视、触、叩、听检查了解心、肺、肝、脾等重要脏器的基本功能，排查相关疾病的临床体征，或排除常见疾病。例如心房颤动、心律不齐、心肺杂音、肝脾肿大等。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眼科</w:t>
                  </w:r>
                  <w:r>
                    <w:rPr>
                      <w:rFonts w:ascii="仿宋_GB2312" w:hAnsi="仿宋_GB2312" w:cs="仿宋_GB2312" w:eastAsia="仿宋_GB2312"/>
                      <w:sz w:val="24"/>
                    </w:rPr>
                    <w:t xml:space="preserve">                       </w:t>
                  </w:r>
                  <w:r>
                    <w:rPr>
                      <w:rFonts w:ascii="仿宋_GB2312" w:hAnsi="仿宋_GB2312" w:cs="仿宋_GB2312" w:eastAsia="仿宋_GB2312"/>
                      <w:sz w:val="24"/>
                    </w:rPr>
                    <w:t>(视力外眼裂隙灯)</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检查视力有无异常，通过裂隙灯显微镜在暗室内检查眼病的方法，检查眼睑、泪囊、结膜、眼球、巩膜、虹膜、角膜、瞳孔、玻璃体等有无异常情况。</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非接触性眼压测量</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眼压的检查是发现青光眼的三大重要检查之一，也是最简单的检查，以排除高眼压和青光眼的可能性，可早期发现病变并进行治疗，也可用于病程的疗效评价，能早期发现糖尿病、高血压患者可能出现的眼部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眼底镜</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检查玻璃体、视网膜、脉络膜和视神经疾病的重要方法。可了解高血压病、糖尿病、肾病、妊娠毒血症、结节病、某些血液病、中枢神经系统疾病等病情发展情况，是重要的辅助诊断的检查手段。</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耳鼻咽科</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通过检查外耳道、鼓膜，筛查有无耳疾；检测鼻腔、鼻窦、咽喉、扁桃体等，初步筛查肿瘤、鼻中隔偏曲等常见性疾病。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双能骨密度检查</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利用双能</w:t>
                  </w:r>
                  <w:r>
                    <w:rPr>
                      <w:rFonts w:ascii="仿宋_GB2312" w:hAnsi="仿宋_GB2312" w:cs="仿宋_GB2312" w:eastAsia="仿宋_GB2312"/>
                      <w:sz w:val="24"/>
                    </w:rPr>
                    <w:t>X线骨密度仪对骨矿物含量进行测量，判断有无骨质疏松及评价骨质疏松的严重程度。是目前最为精准的骨密度检查方法。</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心电图</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通过专业</w:t>
                  </w:r>
                  <w:r>
                    <w:rPr>
                      <w:rFonts w:ascii="仿宋_GB2312" w:hAnsi="仿宋_GB2312" w:cs="仿宋_GB2312" w:eastAsia="仿宋_GB2312"/>
                      <w:sz w:val="24"/>
                    </w:rPr>
                    <w:t>12导联心电图机检测，筛查心律失常、心室心房肥大、心肌梗死、心律失常、心肌缺血等常见心脏病症。</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经颅多普勒</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通过超声波检查了解颅内及颅外各血管、脑动脉环血管及其分支的血流情况，判断有无硬化、狭窄、缺血、畸形、痉挛等血管病变。对于年轻人可以检查脑部供血情况</w:t>
                  </w:r>
                  <w:r>
                    <w:rPr>
                      <w:rFonts w:ascii="仿宋_GB2312" w:hAnsi="仿宋_GB2312" w:cs="仿宋_GB2312" w:eastAsia="仿宋_GB2312"/>
                      <w:sz w:val="24"/>
                    </w:rPr>
                    <w:t>,对于老年人主要查动脉硬化情况。</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通过精确准直的</w:t>
                  </w:r>
                  <w:r>
                    <w:rPr>
                      <w:rFonts w:ascii="仿宋_GB2312" w:hAnsi="仿宋_GB2312" w:cs="仿宋_GB2312" w:eastAsia="仿宋_GB2312"/>
                      <w:sz w:val="24"/>
                    </w:rPr>
                    <w:t>X线束对胸部一定厚度的组织层面进行扫描，主要检查肺部、胸膜、膈肌、纵膈及心脏大血管的疾病、胸部外伤性疾病。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头部</w:t>
                  </w:r>
                  <w:r>
                    <w:rPr>
                      <w:rFonts w:ascii="仿宋_GB2312" w:hAnsi="仿宋_GB2312" w:cs="仿宋_GB2312" w:eastAsia="仿宋_GB2312"/>
                      <w:sz w:val="24"/>
                    </w:rPr>
                    <w:t>CT</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通过精确准直的</w:t>
                  </w:r>
                  <w:r>
                    <w:rPr>
                      <w:rFonts w:ascii="仿宋_GB2312" w:hAnsi="仿宋_GB2312" w:cs="仿宋_GB2312" w:eastAsia="仿宋_GB2312"/>
                      <w:sz w:val="24"/>
                    </w:rPr>
                    <w:t>X线束对颅脑一定厚度的层面进行扫描，能清楚的显示颅脑不同横断面的解剖关系和具体的脑组织结构，对中枢神经系统的外伤、肿瘤、炎症、血管病变、中毒、变性和代谢性等疾病有较高的检出率。</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胸部正位</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w:t>
                  </w:r>
                  <w:r>
                    <w:rPr>
                      <w:rFonts w:ascii="仿宋_GB2312" w:hAnsi="仿宋_GB2312" w:cs="仿宋_GB2312" w:eastAsia="仿宋_GB2312"/>
                      <w:sz w:val="24"/>
                    </w:rPr>
                    <w:t>DRX线检查两肺、心脏、纵隔、膈、胸膜的结构、形态及状态情况，可筛查双肺、气管的炎症、结核、肿瘤及心脏疾患等常见疾病。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颈椎侧位</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w:t>
                  </w:r>
                  <w:r>
                    <w:rPr>
                      <w:rFonts w:ascii="仿宋_GB2312" w:hAnsi="仿宋_GB2312" w:cs="仿宋_GB2312" w:eastAsia="仿宋_GB2312"/>
                      <w:sz w:val="24"/>
                    </w:rPr>
                    <w:t>DRX线检查椎体有无先天性畸形、增生、退行性变、椎间孔狭窄、肿物、骨质病变等情况。</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腹部彩超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通过高清晰度的彩色动态超声断层图像扫描，检查人体腹部脏器（肝、胆、脾、胰、双肾）的状况，筛查各脏器的常见病变，例如发现及判断良恶性肿瘤、肾动脉狭窄等。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乳腺彩超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通过高清晰度的彩色动态超声断层图像扫描，观察乳腺形态结构是否正常，筛查有无乳腺增生、肿物、结节、囊肿、腺瘤、乳腺癌等病变。</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子宫附件</w:t>
                  </w:r>
                </w:p>
                <w:p>
                  <w:pPr>
                    <w:pStyle w:val="null3"/>
                    <w:jc w:val="center"/>
                  </w:pPr>
                  <w:r>
                    <w:rPr>
                      <w:rFonts w:ascii="仿宋_GB2312" w:hAnsi="仿宋_GB2312" w:cs="仿宋_GB2312" w:eastAsia="仿宋_GB2312"/>
                      <w:sz w:val="24"/>
                    </w:rPr>
                    <w:t>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通过高清晰度的彩色动态超声断层图像扫描，检查子宫及附件（卵巢、输卵管）大小、形态结构及内部回声的情况，筛查有无子宫肌瘤、卵巢囊肿、子宫癌等良恶性病变。</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通过高清晰度的彩色动态超声断层图像扫描，检测前列腺大小、形态、结构的一种无创性检查方法。判断有无前列腺增大、囊肿、结石，占位性病变等。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泌尿系统</w:t>
                  </w:r>
                </w:p>
                <w:p>
                  <w:pPr>
                    <w:pStyle w:val="null3"/>
                    <w:jc w:val="center"/>
                  </w:pPr>
                  <w:r>
                    <w:rPr>
                      <w:rFonts w:ascii="仿宋_GB2312" w:hAnsi="仿宋_GB2312" w:cs="仿宋_GB2312" w:eastAsia="仿宋_GB2312"/>
                      <w:sz w:val="24"/>
                    </w:rPr>
                    <w:t>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通过高清晰度的彩色动态超声断层图像扫描，检查泌尿系统（双肾、输尿管、膀胱）形态结构、大小及内部回声情况的一种无创性检查方法。可以筛查肾脏、输尿管、膀胱结石、炎症、肾积水及异物和肿瘤等。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通过高清晰度的彩色动态超声断层图像扫描，观察甲状腺形态结构是否正常，筛查有无甲状腺肿物、结节、肿大、炎症；可发现甲状腺肿、甲状腺囊肿、甲状腺炎、甲状腺瘤、甲状腺癌等疾病。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心脏彩超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检测心室内结构、血流动力学状况及心功能的一种无创伤性检查方法，可了解心脏、大血管的形态、大小、功能以及心肌和心脏瓣膜状态，可筛查先天性心脏畸形病变的位置、大小、大血管的关系以及其它畸形情况和病变程度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颈动脉彩超</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高清晰度的彩色动态超声断层图像扫描，观察颈动脉结构和动脉粥样硬化斑形态、范围、性质、动脉狭窄程度等；早期发现动脉血管病变，为有效预防和减少冠心病、缺血性脑血管病等心脑血管疾病发病提供客观的血流动力学依据。</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血常规</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检测血液细胞的计数及不同种类细胞、成分的分类，初步筛查各种血液疾病，例如贫血、感染、白血病等。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筛查泌尿系统疾病，如泌尿系统感染、肿瘤、结石及了解肾功能，还可用于协助检查其它系统疾病，如糖尿病、高血压、肝炎等。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肝功三项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丙氨酸氨基转移酶</w:t>
                  </w:r>
                  <w:r>
                    <w:rPr>
                      <w:rFonts w:ascii="仿宋_GB2312" w:hAnsi="仿宋_GB2312" w:cs="仿宋_GB2312" w:eastAsia="仿宋_GB2312"/>
                      <w:sz w:val="24"/>
                    </w:rPr>
                    <w:t>(ALT) 天门冬氨酸氨基转移酶(AST) γ- 谷氨酰转移酶(GGT) 碱性磷酸酶(ALP);初步了解肝脏功能是否有异常。肝脏的生理功能有解毒功能、代谢功能、分泌胆汁、免疫防御功能等。肝功四项初步了解肝脏功能，肝功异常的原因有很多，例如喝酒、疲劳、熬夜、服药、肥胖、脂肪肝、肝胆疾病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胆红素三项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胆红素是血液循环中衰老红细胞在肝、脾及骨髓中分解和破坏的产物。胆红素升高与胆红素产生过多、肝细胞损害处理胆红素能力下降和排泄障碍等因素有关。可反映肝胆系统疾病及鉴别溶血性疾病。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肝功十一项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丙氨酸氨基转移酶</w:t>
                  </w:r>
                  <w:r>
                    <w:rPr>
                      <w:rFonts w:ascii="仿宋_GB2312" w:hAnsi="仿宋_GB2312" w:cs="仿宋_GB2312" w:eastAsia="仿宋_GB2312"/>
                      <w:sz w:val="24"/>
                    </w:rPr>
                    <w:t>(ALT) 天门冬氨酸氨基转移酶(AST) γ- 谷氨酰转移酶(GGT) 碱性磷酸酶(ALP) 胆红素三项 血清蛋白四项;肝脏的生理功能有解毒功能、代谢功能、分泌胆汁、免疫防御功能等。肝功十一项初步了解肝脏功能，肝功异常的原因有很多，例如喝酒、疲劳、熬夜、服药、肥胖、脂肪肝、肝胆疾病等。</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肾功三项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肌酐</w:t>
                  </w:r>
                  <w:r>
                    <w:rPr>
                      <w:rFonts w:ascii="仿宋_GB2312" w:hAnsi="仿宋_GB2312" w:cs="仿宋_GB2312" w:eastAsia="仿宋_GB2312"/>
                      <w:sz w:val="24"/>
                    </w:rPr>
                    <w:t>(Cr) 尿素氮(BUN) 尿酸(UA)用于肾功能评价，测定肾功能损害程度及估计预后。</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空腹血糖</w:t>
                  </w:r>
                  <w:r>
                    <w:br/>
                  </w:r>
                  <w:r>
                    <w:rPr>
                      <w:rFonts w:ascii="仿宋_GB2312" w:hAnsi="仿宋_GB2312" w:cs="仿宋_GB2312" w:eastAsia="仿宋_GB2312"/>
                      <w:sz w:val="24"/>
                    </w:rPr>
                    <w:t>(FBG)</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评价人体空腹状态下糖代谢是否正常，评估糖尿病患者空腹血糖控制是否达标。空腹血糖是诊断糖代谢紊乱的最常用和最重要指标。</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糖化血红蛋白</w:t>
                  </w:r>
                  <w:r>
                    <w:br/>
                  </w:r>
                  <w:r>
                    <w:rPr>
                      <w:rFonts w:ascii="仿宋_GB2312" w:hAnsi="仿宋_GB2312" w:cs="仿宋_GB2312" w:eastAsia="仿宋_GB2312"/>
                      <w:sz w:val="24"/>
                    </w:rPr>
                    <w:t>(HbA1C)</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w:t>
                  </w:r>
                  <w:r>
                    <w:rPr>
                      <w:rFonts w:ascii="仿宋_GB2312" w:hAnsi="仿宋_GB2312" w:cs="仿宋_GB2312" w:eastAsia="仿宋_GB2312"/>
                      <w:sz w:val="24"/>
                    </w:rPr>
                    <w:t>HbA1c对高血糖、尤在血糖和尿糖波动较大时有特殊诊断意义；反映近2-3个月的平均血糖水平；用于筛检糖尿病、预测血管并发症、鉴别高血糖原因，评价糖尿病控制程度。</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血脂四项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总胆固醇</w:t>
                  </w:r>
                  <w:r>
                    <w:rPr>
                      <w:rFonts w:ascii="仿宋_GB2312" w:hAnsi="仿宋_GB2312" w:cs="仿宋_GB2312" w:eastAsia="仿宋_GB2312"/>
                      <w:sz w:val="24"/>
                    </w:rPr>
                    <w:t>(TC) 甘油三酯(TG) 高密度脂蛋白胆固醇(HDL-C) 低密度脂蛋白胆固醇(LDL-C)血清总胆固醇水平受年龄、家族、性别、遗传、饮食、精神等多种因素影响，男性高于女性，体力劳动者低于脑力劳动者。血清甘油三酯受生活习惯、饮食和年龄等影响，进食高脂、高糖和高热量饮食后可增高。高密度脂蛋白胆固醇的作用是阻止游离胆固醇在血中聚集，从而防止动脉粥样硬化。而低密度脂蛋白胆固醇作用与高密度脂蛋白相反，所以高密又叫好蛋白，低密又叫坏蛋白。它们的增高或降低与动脉粥样硬化的形成有很大的关系。也用于评价受检者的脂肪代谢水平。</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血脂七项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总胆固醇</w:t>
                  </w:r>
                  <w:r>
                    <w:rPr>
                      <w:rFonts w:ascii="仿宋_GB2312" w:hAnsi="仿宋_GB2312" w:cs="仿宋_GB2312" w:eastAsia="仿宋_GB2312"/>
                      <w:sz w:val="24"/>
                    </w:rPr>
                    <w:t>(TC) 甘油三酯(TG) 高密度脂蛋白胆固醇(HDL-C) 低密度脂蛋白胆固醇(LDL-C) 载脂蛋白A1(Apo-A1) 载脂蛋白B(Apo-B) 脂蛋白(a)(LP(a))一组综合评判人体对体内脂类物质的摄取、代谢及水平的指标，它们的增高或降低与动脉粥样硬化的形成有很大的关系。用于评价受检者的脂肪代谢水平、血脂代谢紊乱评价、动脉粥样硬化性疾病危险性预测和营养学评价。</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幽门螺杆菌检测</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(C13呼气试验)</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幽门螺杆菌抗体阳性见于胃、十二指肠幽门螺旋杆菌感染，如胃炎、胃溃疡和十二指肠溃疡等。既往感染过，但已治愈的患者幽门螺旋杆菌呈现为阴性，当前感染者为阳性表现。</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乙肝五项定性测定</w:t>
                  </w:r>
                  <w:r>
                    <w:rPr>
                      <w:rFonts w:ascii="仿宋_GB2312" w:hAnsi="仿宋_GB2312" w:cs="仿宋_GB2312" w:eastAsia="仿宋_GB2312"/>
                      <w:sz w:val="24"/>
                    </w:rPr>
                    <w:t xml:space="preserve">   </w:t>
                  </w:r>
                </w:p>
                <w:p>
                  <w:pPr>
                    <w:pStyle w:val="null3"/>
                    <w:jc w:val="center"/>
                  </w:pPr>
                  <w:r>
                    <w:rPr>
                      <w:rFonts w:ascii="仿宋_GB2312" w:hAnsi="仿宋_GB2312" w:cs="仿宋_GB2312" w:eastAsia="仿宋_GB2312"/>
                      <w:sz w:val="24"/>
                    </w:rPr>
                    <w:t>（需签字同意）</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乙型肝炎病毒表面抗原（</w:t>
                  </w:r>
                  <w:r>
                    <w:rPr>
                      <w:rFonts w:ascii="仿宋_GB2312" w:hAnsi="仿宋_GB2312" w:cs="仿宋_GB2312" w:eastAsia="仿宋_GB2312"/>
                      <w:sz w:val="24"/>
                    </w:rPr>
                    <w:t>HBsAg） 乙型肝炎病毒表面抗体（HBsAb）乙型肝炎病毒e抗原（HBeAg） 乙型肝炎病毒e抗体（HBeAb） 乙型肝炎病毒核心抗体（HBcAb）对乙肝五项的定性检查（阴性或阳性），用于评价是否感染乙肝病毒和目前处于一种什么样的状态，同时可以了解对乙肝是否有免疫力、有无传染性、是否需要进一步深入检查及治疗。</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同型半胱氨酸</w:t>
                  </w:r>
                  <w:r>
                    <w:br/>
                  </w:r>
                  <w:r>
                    <w:rPr>
                      <w:rFonts w:ascii="仿宋_GB2312" w:hAnsi="仿宋_GB2312" w:cs="仿宋_GB2312" w:eastAsia="仿宋_GB2312"/>
                      <w:sz w:val="24"/>
                    </w:rPr>
                    <w:t>(Hcy)</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同型半胱氨酸由肝脏合成，与动脉粥样硬化和血栓性疾病密切相关。增高主要见于心血管疾病（冠心病、高血压），外周血管病变，慢性肾衰等。是动脉粥样硬化和心血管疾病发病的独立危险因素之一。</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心肌酶三项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乳酸脱氢酶</w:t>
                  </w:r>
                  <w:r>
                    <w:rPr>
                      <w:rFonts w:ascii="仿宋_GB2312" w:hAnsi="仿宋_GB2312" w:cs="仿宋_GB2312" w:eastAsia="仿宋_GB2312"/>
                      <w:sz w:val="24"/>
                    </w:rPr>
                    <w:t>(LDH) 磷酸肌酸激酶(CK) 磷酸肌酸激酶同工酶(CK-MB)主要存在于心肌、脑、肝、组织及骨骼；在急性心肌梗死、心肌损害时肌酸激酶、尤其CK-MB升高，另外，重症肺炎、心衰、尿毒症、急性颅脑损伤等均可升高。</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维生素</w:t>
                  </w:r>
                  <w:r>
                    <w:rPr>
                      <w:rFonts w:ascii="仿宋_GB2312" w:hAnsi="仿宋_GB2312" w:cs="仿宋_GB2312" w:eastAsia="仿宋_GB2312"/>
                      <w:sz w:val="24"/>
                    </w:rPr>
                    <w:t>D水平评估</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维生素</w:t>
                  </w:r>
                  <w:r>
                    <w:rPr>
                      <w:rFonts w:ascii="仿宋_GB2312" w:hAnsi="仿宋_GB2312" w:cs="仿宋_GB2312" w:eastAsia="仿宋_GB2312"/>
                      <w:sz w:val="24"/>
                    </w:rPr>
                    <w:t>D不仅在维护骨骼健康中起到重要作用，而且与自身免疫性疾病、心血管疾病、糖尿病、癌症的发病有关。维生素D缺乏对内分泌系统、免疫系统、神经系统、心血管系统都存在不同程度的损害。</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免疫球蛋白三项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综合评价机体免疫功能状态，辅助诊断多种疾病。</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胃泌素</w:t>
                  </w:r>
                  <w:r>
                    <w:rPr>
                      <w:rFonts w:ascii="仿宋_GB2312" w:hAnsi="仿宋_GB2312" w:cs="仿宋_GB2312" w:eastAsia="仿宋_GB2312"/>
                      <w:sz w:val="24"/>
                    </w:rPr>
                    <w:t>17</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小细胞肺癌首选标志物，联合</w:t>
                  </w:r>
                  <w:r>
                    <w:rPr>
                      <w:rFonts w:ascii="仿宋_GB2312" w:hAnsi="仿宋_GB2312" w:cs="仿宋_GB2312" w:eastAsia="仿宋_GB2312"/>
                      <w:sz w:val="24"/>
                    </w:rPr>
                    <w:t>NSE、CEA可显著提高小细胞肺癌的检出率。</w:t>
                  </w:r>
                </w:p>
              </w:tc>
            </w:tr>
            <w:tr>
              <w:tc>
                <w:tcPr>
                  <w:tcW w:type="dxa" w:w="18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胃蛋白酶二项</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反映胃粘膜的变化，是诊断胃部病变的辅助依据。胃蛋白酶原</w:t>
                  </w:r>
                  <w:r>
                    <w:rPr>
                      <w:rFonts w:ascii="仿宋_GB2312" w:hAnsi="仿宋_GB2312" w:cs="仿宋_GB2312" w:eastAsia="仿宋_GB2312"/>
                      <w:sz w:val="24"/>
                    </w:rPr>
                    <w:t>I/胃蛋白酶原II比值低于正常值时，对慢性萎缩性胃炎特异性较高。</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甲功三项</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 xml:space="preserve">(FT3 FT4 TSH)）               </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游离甲状腺素</w:t>
                  </w:r>
                  <w:r>
                    <w:rPr>
                      <w:rFonts w:ascii="仿宋_GB2312" w:hAnsi="仿宋_GB2312" w:cs="仿宋_GB2312" w:eastAsia="仿宋_GB2312"/>
                      <w:sz w:val="24"/>
                    </w:rPr>
                    <w:t>(FT4) 游离三碘甲状原氨酸(FT3) 促甲状腺激素(TSH)用于甲状腺功能亢进或甲状腺功能减低等筛查。</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甲胎蛋白定量</w:t>
                  </w:r>
                  <w:r>
                    <w:br/>
                  </w:r>
                  <w:r>
                    <w:rPr>
                      <w:rFonts w:ascii="仿宋_GB2312" w:hAnsi="仿宋_GB2312" w:cs="仿宋_GB2312" w:eastAsia="仿宋_GB2312"/>
                      <w:sz w:val="24"/>
                    </w:rPr>
                    <w:t>(AFP)</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对原发性肝癌的诊断、疗效观察和预后评估有重要的临床意义。在卵巢、胃、胰腺癌、睾丸癌等肿瘤及肝炎、肝硬化等疾病也有异常状态的发现。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癌胚抗原定量</w:t>
                  </w:r>
                  <w:r>
                    <w:br/>
                  </w:r>
                  <w:r>
                    <w:rPr>
                      <w:rFonts w:ascii="仿宋_GB2312" w:hAnsi="仿宋_GB2312" w:cs="仿宋_GB2312" w:eastAsia="仿宋_GB2312"/>
                      <w:sz w:val="24"/>
                    </w:rPr>
                    <w:t>(CEA)</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系广谱性肿瘤标志物，对大肠癌、胰腺癌的筛查、疗效观察和预后评估有重要的临床意义。在胃、乳腺、肺癌等也可升高。</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前列腺肿瘤标志物组合</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肿瘤标志物的最佳组合，有利于提高诊断阳性率。</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癌抗原</w:t>
                  </w:r>
                  <w:r>
                    <w:rPr>
                      <w:rFonts w:ascii="仿宋_GB2312" w:hAnsi="仿宋_GB2312" w:cs="仿宋_GB2312" w:eastAsia="仿宋_GB2312"/>
                      <w:sz w:val="24"/>
                    </w:rPr>
                    <w:t>125(CA125)</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卵巢癌首选标志物，胰腺癌、乳腺癌、肝癌、肺癌、胃肠道恶性肿瘤、子宫癌均可增高</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癌抗原</w:t>
                  </w:r>
                  <w:r>
                    <w:rPr>
                      <w:rFonts w:ascii="仿宋_GB2312" w:hAnsi="仿宋_GB2312" w:cs="仿宋_GB2312" w:eastAsia="仿宋_GB2312"/>
                      <w:sz w:val="24"/>
                    </w:rPr>
                    <w:t>15-3(CA15-3)</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乳腺癌的首选标志物。肺癌、结直肠癌等亦可升高。良性乳腺疾患、卵巢囊肿等患者也可超过正常水平。</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综合评估</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主要疾病提示、阳性结果提示、健康指导建议</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营养早餐</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为每位客户提供免费，营养搭配合理的早餐</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问诊咨询</w:t>
                  </w:r>
                </w:p>
              </w:tc>
              <w:tc>
                <w:tcPr>
                  <w:tcW w:type="dxa" w:w="19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为每位客户提供免费的专家健康体检咨询</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1.组织员工集体体检且保证采购人员工体检当日车接车送； 2.必须提供专场服务和高质量营养早餐； 3.成交供应商未发生过不良体检事件和重大医疗事故，供应商针对此项提供书面承诺； 4.因工作等原因未参加集体体检的员工，自行前往体检机构进行体检；成交供应商应及时记录、跟进，支持未参加集体检测员工个人预约； 5.体检机构应在体检结束后10个日历日，向采购人提交体检报告； 6.体检过程中所需要的设备和耗材，全部由成交供应商提供，要求尽量采用一次性设备。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自合同签订之日起至本项目体检服务内容全部结束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供应商提供的体检场所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按照相关国家及行业标准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以合同具体要求为准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提供自2024年10月1日以来已缴存的任意1个月的社会保障资金缴存单据或社保机构开具的社会保险参保缴费情况证明；依法不需要缴纳社会保障资金的供应商应提供相关证明文件。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提供自2024年10月1日以来已缴纳的任意1个月的依法缴纳税收的相关凭据(时间以税款所属日期为准)，凭据应有税务机关或代收机关的公章或业务专用章；依法免税或无须缴纳税收的供应商，应提供相应证明文件。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供应商须具备卫生行政部门颁发的《医疗机构执业许可证》及《放射诊疗许可证》。</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一般资格要求及特殊资格要求.docx 业绩一览表.docx 服务内容及要求应答表.docx 中小企业声明函 残疾人福利性单位声明函 商务要求应答表.docx 标的清单 响应函 监狱企业的证明文件 总服务方案.docx 其他材料及供应商认为有必要说明、阐述的事项.docx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 一般资格要求及特殊资格要求.docx 业绩一览表.docx 服务内容及要求应答表.docx 中小企业声明函 残疾人福利性单位声明函 商务要求应答表.docx 标的清单 响应函 监狱企业的证明文件 总服务方案.docx 其他材料及供应商认为有必要说明、阐述的事项.docx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商务要求应答表.docx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响应文件封面 一般资格要求及特殊资格要求.docx 业绩一览表.docx 服务内容及要求应答表.docx 中小企业声明函 残疾人福利性单位声明函 商务要求应答表.docx 标的清单 响应函 监狱企业的证明文件 总服务方案.docx 其他材料及供应商认为有必要说明、阐述的事项.docx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供应商对本项目的①服务内容、②科室介绍、③服务计划、④内部管理制度、⑤服务保障承诺等方面进行赋分。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体检流程计划</w:t>
            </w:r>
          </w:p>
        </w:tc>
        <w:tc>
          <w:tcPr>
            <w:tcW w:type="dxa" w:w="2492"/>
          </w:tcPr>
          <w:p>
            <w:pPr>
              <w:pStyle w:val="null3"/>
            </w:pPr>
            <w:r>
              <w:rPr>
                <w:rFonts w:ascii="仿宋_GB2312" w:hAnsi="仿宋_GB2312" w:cs="仿宋_GB2312" w:eastAsia="仿宋_GB2312"/>
              </w:rPr>
              <w:t>一、评审内容 评审专家根据各供应商编写的体检流程计划，从时间安排、体检项目顺序、体检程序等方面进行赋分。 二、评审标准： 1、完整性：内容全面，对评审内容中的各项要求有详细描述； 2、可行性：切合本项目实际情况，提出步骤清晰的方案； 3、针对性：紧扣项目实际情况需求，内容切实合理。 三、赋分标准： 体检流程计划：每满足一个评审标准得2分，基本满足一个评审标准得1分，对该评审标准的响应内容模糊或存在缺陷得0.5分，未提供或完全无法满足该评审标准得0分。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隐私保密方案</w:t>
            </w:r>
          </w:p>
        </w:tc>
        <w:tc>
          <w:tcPr>
            <w:tcW w:type="dxa" w:w="2492"/>
          </w:tcPr>
          <w:p>
            <w:pPr>
              <w:pStyle w:val="null3"/>
            </w:pPr>
            <w:r>
              <w:rPr>
                <w:rFonts w:ascii="仿宋_GB2312" w:hAnsi="仿宋_GB2312" w:cs="仿宋_GB2312" w:eastAsia="仿宋_GB2312"/>
              </w:rPr>
              <w:t>一、评审内容 ①保密措施；②保密制度 二、评审标准： 1、完整性：内容全面，对评审内容中的各项要求有详细描述； 2、可行性：切合本项目实际情况，提出步骤清晰的方案； 3、针对性：紧扣项目实际情况需求，内容切实合理。 三、赋分标准： 1、保密措施：每满足一个评审标准得2分，基本满足一个评审标准得1分，对该评审标准的响应内容模糊或存在缺陷得0.5分，未提供或完全无法满足该评审标准得0分。 2、保密制度：每满足一个评审标准得2分，基本满足一个评审标准得1分，对该评审标准的响应内容模糊或存在缺陷得0.5分，未提供或完全无法满足该评审标准得0分。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体检报告内容及形式</w:t>
            </w:r>
          </w:p>
        </w:tc>
        <w:tc>
          <w:tcPr>
            <w:tcW w:type="dxa" w:w="2492"/>
          </w:tcPr>
          <w:p>
            <w:pPr>
              <w:pStyle w:val="null3"/>
            </w:pPr>
            <w:r>
              <w:rPr>
                <w:rFonts w:ascii="仿宋_GB2312" w:hAnsi="仿宋_GB2312" w:cs="仿宋_GB2312" w:eastAsia="仿宋_GB2312"/>
              </w:rPr>
              <w:t>一、评审内容 评审专家根据供应商提供的体检报告内容及形式，从报告形式、报告内容等方面赋分。 二、评审标准： 1、完整性：内容全面，对评审内容中的各项要求有详细描述； 2、可行性：切合本项目实际情况，提出步骤清晰的方案； 3、针对性：紧扣项目实际情况需求，内容切实合理。 三、赋分标准： 体检报告内容及形式：每满足一个评审标准得1分，基本满足一个评审标准得0.5分，未提供或完全无法满足该评审标准得0分。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本项目拟派体检负责人具有相关专业中级职称得2分，高级及以上职称得3分，提供职称证书复印件或电子件。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根据拟投入体检的团队人员（不包含主要负责人）包括但不限于：①数量、②学历、③职称、④从业年限、⑤资格证书等，评委进行自主赋分。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突发性事件处理方案</w:t>
            </w:r>
          </w:p>
        </w:tc>
        <w:tc>
          <w:tcPr>
            <w:tcW w:type="dxa" w:w="2492"/>
          </w:tcPr>
          <w:p>
            <w:pPr>
              <w:pStyle w:val="null3"/>
            </w:pPr>
            <w:r>
              <w:rPr>
                <w:rFonts w:ascii="仿宋_GB2312" w:hAnsi="仿宋_GB2312" w:cs="仿宋_GB2312" w:eastAsia="仿宋_GB2312"/>
              </w:rPr>
              <w:t>根据各供应商针对本项目的突发性事件的处理方案，包括但不限于①晕针、②晕血、③低血糖、④人员受伤、⑤停电、⑥设备故障等等进行赋分。 以上内容完整、不存在瑕疵，得12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配套服务方案</w:t>
            </w:r>
          </w:p>
        </w:tc>
        <w:tc>
          <w:tcPr>
            <w:tcW w:type="dxa" w:w="2492"/>
          </w:tcPr>
          <w:p>
            <w:pPr>
              <w:pStyle w:val="null3"/>
            </w:pPr>
            <w:r>
              <w:rPr>
                <w:rFonts w:ascii="仿宋_GB2312" w:hAnsi="仿宋_GB2312" w:cs="仿宋_GB2312" w:eastAsia="仿宋_GB2312"/>
              </w:rPr>
              <w:t>一、评审内容 评审专家根据各供应商提供的配套服务方案，从早餐方案、复查以及增项检查的优惠政策等方面综合考虑。 二、评审标准： 1、完整性：内容全面，对评审内容中的各项要求有详细描述； 2、可行性：切合本项目实际情况，提出步骤清晰的方案； 3、针对性：紧扣项目实际情况需求，内容切实合理。 三、赋分标准： 配套服务方案：每满足一个评审标准得2分，基本满足一个评审标准得1分，对该评审标准的响应内容模糊或存在缺陷得0.5分，未提供或完全无法满足该评审标准得0分。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设备配置方案</w:t>
            </w:r>
          </w:p>
        </w:tc>
        <w:tc>
          <w:tcPr>
            <w:tcW w:type="dxa" w:w="2492"/>
          </w:tcPr>
          <w:p>
            <w:pPr>
              <w:pStyle w:val="null3"/>
            </w:pPr>
            <w:r>
              <w:rPr>
                <w:rFonts w:ascii="仿宋_GB2312" w:hAnsi="仿宋_GB2312" w:cs="仿宋_GB2312" w:eastAsia="仿宋_GB2312"/>
              </w:rPr>
              <w:t>供应商为本项目完成投入的仪器设备图片及说明，包括但不限于①设备名称、②设备规格、③型号、④设备性能、⑤使用年限、⑥检/审标识等。 以上内容完整、不存在瑕疵，得6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体检场地及环境</w:t>
            </w:r>
          </w:p>
        </w:tc>
        <w:tc>
          <w:tcPr>
            <w:tcW w:type="dxa" w:w="2492"/>
          </w:tcPr>
          <w:p>
            <w:pPr>
              <w:pStyle w:val="null3"/>
            </w:pPr>
            <w:r>
              <w:rPr>
                <w:rFonts w:ascii="仿宋_GB2312" w:hAnsi="仿宋_GB2312" w:cs="仿宋_GB2312" w:eastAsia="仿宋_GB2312"/>
              </w:rPr>
              <w:t>针对本项目提供满足要求的主要体检服务地点情况，提供包括但不限于①服务地点交通情况、②服务场地布局图、③服务场地照片、④服务场地环境及卫生状况说明、⑤房屋租赁或购买证明等。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绿色就医通道</w:t>
            </w:r>
          </w:p>
        </w:tc>
        <w:tc>
          <w:tcPr>
            <w:tcW w:type="dxa" w:w="2492"/>
          </w:tcPr>
          <w:p>
            <w:pPr>
              <w:pStyle w:val="null3"/>
            </w:pPr>
            <w:r>
              <w:rPr>
                <w:rFonts w:ascii="仿宋_GB2312" w:hAnsi="仿宋_GB2312" w:cs="仿宋_GB2312" w:eastAsia="仿宋_GB2312"/>
              </w:rPr>
              <w:t>一、评审内容 根据供应商提供对体检结果有异常者提供专家预约、就诊、住院绿色通道；对体检发现的危急重症患者提供急救及转诊绿色通道等方案进行评审。 二、评审标准： 1、完整性：内容全面，对评审内容中的各项要求有详细描述； 2、可行性：切合本项目实际情况，提出步骤清晰的方案； 3、针对性：紧扣项目实际情况需求，内容切实合理。 三、赋分标准： 绿色就医通道：每满足一个评审标准得2分，基本满足一个评审标准得1分，对该评审标准的响应内容模糊或存在缺陷得0.5分，未提供或完全无法满足该评审标准得0分。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供应商提供自2022年6月至今承担过类似服务项目业绩，并提供相关业绩证明材料（以合同为准），每提供1份得2分，此项最高6分。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价格分统一采用低价优先法计算，即满足磋商文件要求且二次报价价格最低的报价为评审基准价，其价格分为满分。其他供应商的价格分统一按照下列公式计算： 报价得分=(评审基准价／二次报价)×10 全部符合政策优惠条件的供应商报价得分=[评审基准价/二次报价×(1-10%)]×10 计算分数时四舍五入取小数点后两位。 注：如供应商为小型、微型企业、监狱企业、福利企业的，价格给予10%的扣除，并用扣除后的价格参加评审。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详见附件：服务内容及要求应答表.docx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