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539F52">
      <w:pPr>
        <w:snapToGrid w:val="0"/>
        <w:jc w:val="center"/>
        <w:rPr>
          <w:rFonts w:hint="eastAsia" w:ascii="宋体" w:hAnsi="宋体"/>
          <w:b/>
          <w:sz w:val="44"/>
          <w:szCs w:val="28"/>
        </w:rPr>
      </w:pPr>
    </w:p>
    <w:p w14:paraId="69B029F8">
      <w:pPr>
        <w:snapToGrid w:val="0"/>
        <w:jc w:val="center"/>
        <w:rPr>
          <w:rFonts w:hint="eastAsia" w:ascii="宋体" w:hAnsi="宋体"/>
          <w:b/>
          <w:sz w:val="44"/>
          <w:szCs w:val="28"/>
        </w:rPr>
      </w:pPr>
    </w:p>
    <w:p w14:paraId="19635F83">
      <w:pPr>
        <w:snapToGrid w:val="0"/>
        <w:jc w:val="center"/>
        <w:rPr>
          <w:rFonts w:hint="eastAsia" w:ascii="宋体" w:hAnsi="宋体"/>
          <w:b/>
          <w:sz w:val="44"/>
          <w:szCs w:val="28"/>
        </w:rPr>
      </w:pPr>
    </w:p>
    <w:p w14:paraId="20FE7F00">
      <w:pPr>
        <w:snapToGrid w:val="0"/>
        <w:jc w:val="center"/>
        <w:rPr>
          <w:rFonts w:hint="eastAsia" w:ascii="宋体" w:hAnsi="宋体"/>
          <w:b/>
          <w:sz w:val="44"/>
          <w:szCs w:val="28"/>
        </w:rPr>
      </w:pPr>
    </w:p>
    <w:p w14:paraId="24D5ED44">
      <w:pPr>
        <w:snapToGrid w:val="0"/>
        <w:jc w:val="center"/>
        <w:rPr>
          <w:rFonts w:hint="eastAsia" w:ascii="宋体" w:hAnsi="宋体"/>
          <w:b/>
          <w:sz w:val="44"/>
          <w:szCs w:val="28"/>
        </w:rPr>
      </w:pPr>
    </w:p>
    <w:p w14:paraId="3100E8E5">
      <w:pPr>
        <w:snapToGrid w:val="0"/>
        <w:jc w:val="center"/>
        <w:rPr>
          <w:rFonts w:hint="eastAsia" w:ascii="宋体" w:hAnsi="宋体"/>
          <w:b/>
          <w:sz w:val="36"/>
        </w:rPr>
      </w:pPr>
      <w:r>
        <w:rPr>
          <w:rFonts w:hint="eastAsia" w:ascii="宋体" w:hAnsi="宋体"/>
          <w:b/>
          <w:sz w:val="44"/>
          <w:szCs w:val="28"/>
        </w:rPr>
        <w:t>基层农技员培训</w:t>
      </w:r>
      <w:r>
        <w:rPr>
          <w:rFonts w:hint="eastAsia" w:ascii="宋体" w:hAnsi="宋体"/>
          <w:b/>
          <w:sz w:val="36"/>
        </w:rPr>
        <w:t xml:space="preserve"> </w:t>
      </w:r>
    </w:p>
    <w:p w14:paraId="1866E247">
      <w:pPr>
        <w:snapToGrid w:val="0"/>
        <w:jc w:val="center"/>
        <w:rPr>
          <w:rFonts w:hint="eastAsia" w:ascii="宋体" w:hAnsi="宋体"/>
          <w:b/>
          <w:sz w:val="36"/>
        </w:rPr>
      </w:pPr>
    </w:p>
    <w:p w14:paraId="61CD4A08">
      <w:pPr>
        <w:snapToGrid w:val="0"/>
        <w:jc w:val="center"/>
        <w:rPr>
          <w:rFonts w:hint="eastAsia" w:ascii="宋体" w:hAnsi="宋体"/>
          <w:b/>
          <w:sz w:val="52"/>
        </w:rPr>
      </w:pPr>
    </w:p>
    <w:p w14:paraId="7AE2BC1E">
      <w:pPr>
        <w:snapToGrid w:val="0"/>
        <w:jc w:val="center"/>
        <w:rPr>
          <w:rFonts w:hint="eastAsia" w:ascii="宋体" w:hAnsi="宋体"/>
          <w:b/>
          <w:sz w:val="52"/>
        </w:rPr>
      </w:pPr>
    </w:p>
    <w:p w14:paraId="4E2A713C">
      <w:pPr>
        <w:snapToGrid w:val="0"/>
        <w:jc w:val="center"/>
        <w:rPr>
          <w:rFonts w:hint="eastAsia" w:ascii="宋体" w:hAnsi="宋体"/>
          <w:b/>
          <w:sz w:val="52"/>
        </w:rPr>
      </w:pPr>
      <w:r>
        <w:rPr>
          <w:rFonts w:hint="eastAsia" w:ascii="宋体" w:hAnsi="宋体"/>
          <w:b/>
          <w:sz w:val="52"/>
        </w:rPr>
        <w:t>采购合同</w:t>
      </w:r>
    </w:p>
    <w:p w14:paraId="15D6F3B3">
      <w:pPr>
        <w:snapToGrid w:val="0"/>
        <w:jc w:val="center"/>
        <w:rPr>
          <w:rFonts w:hint="eastAsia" w:ascii="宋体" w:hAnsi="宋体"/>
          <w:sz w:val="28"/>
        </w:rPr>
      </w:pPr>
    </w:p>
    <w:p w14:paraId="2050FFC4">
      <w:pPr>
        <w:snapToGrid w:val="0"/>
        <w:jc w:val="center"/>
        <w:rPr>
          <w:rFonts w:hint="eastAsia" w:ascii="宋体" w:hAnsi="宋体"/>
          <w:b/>
          <w:sz w:val="2"/>
        </w:rPr>
      </w:pPr>
      <w:r>
        <w:rPr>
          <w:rFonts w:hint="eastAsia" w:ascii="宋体" w:hAnsi="宋体"/>
          <w:b/>
          <w:sz w:val="28"/>
        </w:rPr>
        <w:t>（示范文本）</w:t>
      </w:r>
    </w:p>
    <w:p w14:paraId="3141BA04">
      <w:pPr>
        <w:snapToGrid w:val="0"/>
        <w:spacing w:line="360" w:lineRule="auto"/>
        <w:ind w:firstLine="480"/>
        <w:rPr>
          <w:rFonts w:hint="eastAsia" w:ascii="宋体" w:hAnsi="宋体"/>
          <w:b/>
          <w:sz w:val="24"/>
        </w:rPr>
      </w:pPr>
      <w:r>
        <w:br w:type="page"/>
      </w:r>
      <w:r>
        <w:rPr>
          <w:rFonts w:hint="eastAsia" w:ascii="宋体" w:hAnsi="宋体"/>
          <w:b/>
          <w:sz w:val="24"/>
        </w:rPr>
        <w:t>采购人（全称）：</w:t>
      </w:r>
    </w:p>
    <w:p w14:paraId="3165A111">
      <w:pPr>
        <w:snapToGrid w:val="0"/>
        <w:spacing w:line="360" w:lineRule="auto"/>
        <w:ind w:firstLine="482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供应商（全称）：</w:t>
      </w:r>
    </w:p>
    <w:p w14:paraId="26C1029B">
      <w:pPr>
        <w:snapToGrid w:val="0"/>
        <w:spacing w:line="360" w:lineRule="auto"/>
        <w:ind w:firstLine="48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 w14:paraId="34E2DD14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一、项目概况</w:t>
      </w:r>
    </w:p>
    <w:p w14:paraId="25EC8C0F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项目名称：       ；</w:t>
      </w:r>
    </w:p>
    <w:p w14:paraId="7401509C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项目地点：       ；</w:t>
      </w:r>
    </w:p>
    <w:p w14:paraId="0150BCDF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项目内容：       。</w:t>
      </w:r>
    </w:p>
    <w:p w14:paraId="5B3B0520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二、组成本合同的文件</w:t>
      </w:r>
    </w:p>
    <w:p w14:paraId="2CC13ABB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1.成交通知书、磋商响应文件、磋商文件、澄清、磋商补充文件（或委托书）；</w:t>
      </w:r>
    </w:p>
    <w:p w14:paraId="3AB1BE02">
      <w:pPr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2.相关服务建议书；</w:t>
      </w:r>
    </w:p>
    <w:p w14:paraId="1800109D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3.附录，即：附表内相关服务的范围和内容；</w:t>
      </w:r>
    </w:p>
    <w:p w14:paraId="7CF55F2B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本合同签订后，双方依法签订的补充协议也是本合同文件的组成部分，与本合同具有同等法律效力。</w:t>
      </w:r>
    </w:p>
    <w:p w14:paraId="60C29587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三、合同价款</w:t>
      </w:r>
    </w:p>
    <w:p w14:paraId="30E1204E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合同总价（大写）：               （¥        ）。</w:t>
      </w:r>
    </w:p>
    <w:p w14:paraId="6A51204D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合同总价即成交价，合同总价一次包死，不受市场价变化的影响（</w:t>
      </w:r>
      <w:r>
        <w:rPr>
          <w:rFonts w:hint="eastAsia" w:ascii="宋体" w:hAnsi="宋体"/>
          <w:b/>
          <w:bCs/>
          <w:sz w:val="24"/>
        </w:rPr>
        <w:t>若实际培训人数减少，甲方有权按实际完成人数占约定总人数的比例结算合同价款。若因乙方原因导致人数减少，甲方有权按比例扣减合同价款并要求乙方承担违约责任</w:t>
      </w:r>
      <w:r>
        <w:rPr>
          <w:rFonts w:hint="eastAsia" w:ascii="宋体" w:hAnsi="宋体"/>
          <w:sz w:val="24"/>
        </w:rPr>
        <w:t>），合同价格为含税价，供应商（成交人）提供产品所发生的一切税（包括增值税）费等都已包含于合同价款中。</w:t>
      </w:r>
    </w:p>
    <w:p w14:paraId="750478A3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四、结算方式：</w:t>
      </w:r>
    </w:p>
    <w:p w14:paraId="609DCEB1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1.付款方式：签订合同后，达到付款条件起10日内，支付合同总金额的50.00%；验收合格后，达到付款条件起10日内，支付合同总金额的50.00% 。 </w:t>
      </w:r>
    </w:p>
    <w:p w14:paraId="63B24B02">
      <w:pPr>
        <w:snapToGrid w:val="0"/>
        <w:spacing w:line="360" w:lineRule="auto"/>
        <w:ind w:firstLine="480" w:firstLineChars="2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2.甲方支付每笔款项前，乙方应提供符合甲方要求的合法税务发票。否则，甲方有权暂停支付相应款项。</w:t>
      </w:r>
    </w:p>
    <w:p w14:paraId="2D509A97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五、期限</w:t>
      </w:r>
    </w:p>
    <w:p w14:paraId="77318163">
      <w:pPr>
        <w:snapToGrid w:val="0"/>
        <w:spacing w:line="360" w:lineRule="auto"/>
        <w:ind w:firstLine="480" w:firstLineChars="200"/>
        <w:jc w:val="left"/>
        <w:rPr>
          <w:rFonts w:hint="eastAsia" w:ascii="宋体" w:hAnsi="宋体" w:cs="宋体"/>
          <w:sz w:val="24"/>
          <w:szCs w:val="28"/>
        </w:rPr>
      </w:pPr>
      <w:r>
        <w:rPr>
          <w:rFonts w:hint="eastAsia" w:ascii="宋体" w:hAnsi="宋体"/>
          <w:sz w:val="24"/>
        </w:rPr>
        <w:t>服务期：自合同签订之日起至2026年4月底前完成</w:t>
      </w:r>
      <w:r>
        <w:rPr>
          <w:rFonts w:hint="eastAsia" w:ascii="宋体" w:hAnsi="宋体" w:cs="宋体"/>
          <w:sz w:val="24"/>
          <w:szCs w:val="28"/>
        </w:rPr>
        <w:t>。</w:t>
      </w:r>
    </w:p>
    <w:p w14:paraId="5E92359A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六、双方承诺</w:t>
      </w:r>
    </w:p>
    <w:p w14:paraId="5647F7D1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1.乙方向甲方承诺，按照本合同约定提供相关服务。</w:t>
      </w:r>
    </w:p>
    <w:p w14:paraId="0C5A0D9E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2.甲方向乙方承诺，按照本合同约定支付服务款项。</w:t>
      </w:r>
    </w:p>
    <w:p w14:paraId="6EEAA529">
      <w:pPr>
        <w:tabs>
          <w:tab w:val="left" w:pos="840"/>
        </w:tabs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七、内容及要求：</w:t>
      </w:r>
    </w:p>
    <w:p w14:paraId="77C971A5">
      <w:pPr>
        <w:tabs>
          <w:tab w:val="left" w:pos="840"/>
        </w:tabs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即交付的设备（产品）、服务内容、数量与磋商响应文件、竞争性磋商文件等所指明的，或者与本合同所指明的设备（产品）、服务内容相一致。（附清单）</w:t>
      </w:r>
    </w:p>
    <w:p w14:paraId="5217C6AD">
      <w:pPr>
        <w:tabs>
          <w:tab w:val="left" w:pos="840"/>
        </w:tabs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八、项目实施地点：</w:t>
      </w:r>
      <w:r>
        <w:rPr>
          <w:rFonts w:hint="eastAsia" w:ascii="宋体" w:hAnsi="宋体"/>
          <w:sz w:val="24"/>
        </w:rPr>
        <w:t>采购人指定地点。</w:t>
      </w:r>
    </w:p>
    <w:p w14:paraId="78FA48A6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九、验收标准:</w:t>
      </w:r>
      <w:r>
        <w:rPr>
          <w:rFonts w:hint="eastAsia" w:ascii="仿宋" w:hAnsi="Times New Roman" w:eastAsia="仿宋" w:cs="仿宋"/>
          <w:kern w:val="0"/>
          <w:sz w:val="24"/>
          <w:szCs w:val="24"/>
        </w:rPr>
        <w:t xml:space="preserve"> </w:t>
      </w:r>
      <w:r>
        <w:rPr>
          <w:rFonts w:hint="eastAsia" w:ascii="宋体" w:hAnsi="宋体"/>
          <w:sz w:val="24"/>
        </w:rPr>
        <w:t>以本合同、《磋商文件》第三章“服务要求”及乙方提交并经甲方确认的《培训实施方案》为验收依据。</w:t>
      </w:r>
    </w:p>
    <w:p w14:paraId="13DB68D2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核心标准包括：</w:t>
      </w:r>
    </w:p>
    <w:p w14:paraId="340ED317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(1</w:t>
      </w:r>
      <w:r>
        <w:rPr>
          <w:rFonts w:hint="eastAsia" w:ascii="宋体" w:hAnsi="宋体"/>
          <w:sz w:val="24"/>
        </w:rPr>
        <w:t>）培训总人数达到各采购包规定人数，且各专业班级设置符合《磋商文件》要求；</w:t>
      </w:r>
    </w:p>
    <w:p w14:paraId="19C6B5EF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(2</w:t>
      </w:r>
      <w:r>
        <w:rPr>
          <w:rFonts w:hint="eastAsia" w:ascii="宋体" w:hAnsi="宋体"/>
          <w:sz w:val="24"/>
        </w:rPr>
        <w:t>）每期培训时长不少于</w:t>
      </w: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天（</w:t>
      </w:r>
      <w:r>
        <w:rPr>
          <w:rFonts w:ascii="宋体" w:hAnsi="宋体"/>
          <w:sz w:val="24"/>
        </w:rPr>
        <w:t>35</w:t>
      </w:r>
      <w:r>
        <w:rPr>
          <w:rFonts w:hint="eastAsia" w:ascii="宋体" w:hAnsi="宋体"/>
          <w:sz w:val="24"/>
        </w:rPr>
        <w:t>课时），其中实训课程不少于</w:t>
      </w:r>
      <w:r>
        <w:rPr>
          <w:rFonts w:ascii="宋体" w:hAnsi="宋体"/>
          <w:sz w:val="24"/>
        </w:rPr>
        <w:t>2</w:t>
      </w:r>
      <w:r>
        <w:rPr>
          <w:rFonts w:hint="eastAsia" w:ascii="宋体" w:hAnsi="宋体"/>
          <w:sz w:val="24"/>
        </w:rPr>
        <w:t>天（</w:t>
      </w:r>
      <w:r>
        <w:rPr>
          <w:rFonts w:ascii="宋体" w:hAnsi="宋体"/>
          <w:sz w:val="24"/>
        </w:rPr>
        <w:t>14</w:t>
      </w:r>
      <w:r>
        <w:rPr>
          <w:rFonts w:hint="eastAsia" w:ascii="宋体" w:hAnsi="宋体"/>
          <w:sz w:val="24"/>
        </w:rPr>
        <w:t>课时）；</w:t>
      </w:r>
    </w:p>
    <w:p w14:paraId="2C513CFF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(3</w:t>
      </w:r>
      <w:r>
        <w:rPr>
          <w:rFonts w:hint="eastAsia" w:ascii="宋体" w:hAnsi="宋体"/>
          <w:sz w:val="24"/>
        </w:rPr>
        <w:t>）学员出勤率、考试合格率均达到</w:t>
      </w:r>
      <w:r>
        <w:rPr>
          <w:rFonts w:ascii="宋体" w:hAnsi="宋体"/>
          <w:sz w:val="24"/>
        </w:rPr>
        <w:t>90</w:t>
      </w:r>
      <w:r>
        <w:rPr>
          <w:rFonts w:hint="eastAsia" w:ascii="宋体" w:hAnsi="宋体"/>
          <w:sz w:val="24"/>
        </w:rPr>
        <w:t>％以上；</w:t>
      </w:r>
    </w:p>
    <w:p w14:paraId="01885B8C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(4</w:t>
      </w:r>
      <w:r>
        <w:rPr>
          <w:rFonts w:hint="eastAsia" w:ascii="宋体" w:hAnsi="宋体"/>
          <w:sz w:val="24"/>
        </w:rPr>
        <w:t>）乙方已提交完整的培训档案，包括但不限于：学员签到表、课程安排、教学组织情况记录表、授课教师资质证明、课程讲义、结业测评成绩等。</w:t>
      </w:r>
    </w:p>
    <w:p w14:paraId="5052CF6F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验收程序：“培训完成后，乙方提交验收申请及完整档案，甲方在</w:t>
      </w:r>
      <w:r>
        <w:rPr>
          <w:rFonts w:ascii="宋体" w:hAnsi="宋体"/>
          <w:sz w:val="24"/>
        </w:rPr>
        <w:t>10</w:t>
      </w:r>
      <w:r>
        <w:rPr>
          <w:rFonts w:hint="eastAsia" w:ascii="宋体" w:hAnsi="宋体"/>
          <w:sz w:val="24"/>
        </w:rPr>
        <w:t>个工作日内组织验收，验收不合格的，乙方需在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>10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个工作日内整改完毕并重新申请验收，整改费用由乙方承担”；明确“验收标准以本合同约定、磋商文件技术服务要求及国家相关培训规范为准，学员出勤率或合格率未达</w:t>
      </w:r>
      <w:r>
        <w:rPr>
          <w:rFonts w:ascii="宋体" w:hAnsi="宋体"/>
          <w:sz w:val="24"/>
        </w:rPr>
        <w:t>90%</w:t>
      </w:r>
      <w:r>
        <w:rPr>
          <w:rFonts w:hint="eastAsia" w:ascii="宋体" w:hAnsi="宋体"/>
          <w:sz w:val="24"/>
        </w:rPr>
        <w:t>的，视为验收不合格，甲方有权拒付剩余合同款”。</w:t>
      </w:r>
    </w:p>
    <w:p w14:paraId="781C957F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十、保密</w:t>
      </w:r>
    </w:p>
    <w:p w14:paraId="7F8ED196">
      <w:pPr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双方须对工作中了解到的使用单位技术、机密等进行严格保密，不得向他人泄漏。乙方需对培训过程中获取的甲方学员信息、培训方案、考核数据等商业秘密保密，保密期限为合同终止后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>5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年，泄露秘密造成甲方损失的，乙方需全额赔偿。</w:t>
      </w:r>
    </w:p>
    <w:p w14:paraId="7F003BB9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十一、知识产权</w:t>
      </w:r>
    </w:p>
    <w:p w14:paraId="254E839D">
      <w:pPr>
        <w:pStyle w:val="13"/>
        <w:spacing w:line="360" w:lineRule="auto"/>
        <w:rPr>
          <w:rFonts w:hint="eastAsia" w:ascii="宋体" w:hAnsi="宋体"/>
          <w:kern w:val="2"/>
          <w:szCs w:val="22"/>
        </w:rPr>
      </w:pPr>
      <w:r>
        <w:rPr>
          <w:rFonts w:hint="eastAsia" w:ascii="宋体" w:hAnsi="宋体"/>
          <w:kern w:val="2"/>
          <w:szCs w:val="22"/>
        </w:rPr>
        <w:t>（1）乙方应保证在本项目中使用的任何技术、产品和服务（包括部分使用），不会产生因第三方提出侵犯其专利权、商标权或其它知识产权而引起的法律和经济纠纷，如存在前述情形，由乙方承担所有相关责任。甲方享有本项目实施过程中产生的知识成果及知识产权。</w:t>
      </w:r>
    </w:p>
    <w:p w14:paraId="501BF447">
      <w:pPr>
        <w:pStyle w:val="12"/>
        <w:spacing w:line="360" w:lineRule="auto"/>
        <w:rPr>
          <w:rFonts w:hint="eastAsia" w:ascii="宋体" w:hAnsi="宋体" w:cs="Times New Roman"/>
          <w:sz w:val="24"/>
          <w:szCs w:val="22"/>
        </w:rPr>
      </w:pPr>
      <w:r>
        <w:rPr>
          <w:rFonts w:hint="eastAsia" w:ascii="宋体" w:hAnsi="宋体" w:cs="Times New Roman"/>
          <w:sz w:val="24"/>
          <w:szCs w:val="22"/>
        </w:rPr>
        <w:t>（2）乙方将在采购项目实施过程中采用自有或者第三方知识成果的，使用该知识成果后，乙方需提供开发接口和开发手册等技术资料，并承诺提供无限期支持，甲方享有使用权（含甲方委托第三方在该项目后续开发的使用权）。</w:t>
      </w:r>
    </w:p>
    <w:p w14:paraId="532E6641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十二、合同争议的解决：</w:t>
      </w:r>
      <w:r>
        <w:rPr>
          <w:rFonts w:hint="eastAsia" w:ascii="宋体" w:hAnsi="宋体"/>
          <w:sz w:val="24"/>
        </w:rPr>
        <w:t>合同执行中发生争议的，当事人双方应协商解决，协商达不成一致时，任何一方均有权向甲方所在地有管辖权的人民法院提起诉讼。</w:t>
      </w:r>
    </w:p>
    <w:p w14:paraId="17D6D2C7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十三、</w:t>
      </w:r>
      <w:r>
        <w:rPr>
          <w:rFonts w:hint="eastAsia" w:ascii="宋体" w:hAnsi="宋体"/>
          <w:sz w:val="24"/>
        </w:rPr>
        <w:t>在发生不可抗力情况下的应对措施和解决办法。</w:t>
      </w:r>
    </w:p>
    <w:p w14:paraId="104E751D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十四、</w:t>
      </w:r>
      <w:r>
        <w:rPr>
          <w:rFonts w:hint="eastAsia" w:ascii="宋体" w:hAnsi="宋体"/>
          <w:sz w:val="24"/>
        </w:rPr>
        <w:t>合同一经签订，不得擅自变更、中止或者终止合同。对确需变更、调整或者中止、终止合同的，应按规定履行相应的手续。因政策调整或不可抗力导致合同需变更的，甲方提前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>个工作日书面通知乙方，双方协商调整；因乙方违约导致合同目的无法实现的，甲方有权单方面解除合同，乙方需退还已收款项并赔偿损失</w:t>
      </w:r>
    </w:p>
    <w:p w14:paraId="3083E7F3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十五、违约责任：</w:t>
      </w:r>
      <w:r>
        <w:rPr>
          <w:rFonts w:hint="eastAsia" w:ascii="宋体" w:hAnsi="宋体"/>
          <w:sz w:val="24"/>
        </w:rPr>
        <w:t>详见竞争性磋商文件“违约责任及解决争议的方法”，并依据《中华人民共和国民法典》、《中华人民共和国政府采购法》的相关条款和本合同约定，乙方未全面履行合同义务或者发生违约，甲方会同采购代理机构有权终止合同，依法向成交乙方进行经济索赔，并报请政府采购监督管理机关进行相应的行政处罚。甲方违约的，应当赔偿给乙方造成的经济损失。</w:t>
      </w:r>
    </w:p>
    <w:p w14:paraId="414027A7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乙方违约情形及责任：</w:t>
      </w:r>
    </w:p>
    <w:p w14:paraId="7CFAEAB8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（1）乙方交付的培训服</w:t>
      </w:r>
      <w:bookmarkStart w:id="0" w:name="_GoBack"/>
      <w:bookmarkEnd w:id="0"/>
      <w:r>
        <w:rPr>
          <w:rFonts w:hint="eastAsia" w:ascii="宋体" w:hAnsi="宋体"/>
          <w:bCs/>
          <w:sz w:val="24"/>
        </w:rPr>
        <w:t>务不符合合同约定标准的，甲方有权要求乙方限期整改。逾期未整改或整改后仍不合格的，甲方有权扣除相应部分的费用，并可要求乙方支付合同总价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>10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</w:rPr>
        <w:t>% 的违约金。</w:t>
      </w:r>
    </w:p>
    <w:p w14:paraId="23DD9FE6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（2）乙方逾期完成培训服务的，每逾期一日，应向甲方支付合同总价千分之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>五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</w:rPr>
        <w:t>的违约金；逾期超过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>3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</w:rPr>
        <w:t>日，甲方有权单方解除合同，乙方除支付违约金外，还应退还甲方已支付的全部款项。</w:t>
      </w:r>
    </w:p>
    <w:p w14:paraId="58DEB6D6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（3）乙方出现下列情形之一的，甲方有权单方解除合同，并要求乙方返还全部已付款项，并支付合同总价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  <w:u w:val="single"/>
          <w:lang w:val="en-US" w:eastAsia="zh-CN"/>
        </w:rPr>
        <w:t>10</w:t>
      </w:r>
      <w:r>
        <w:rPr>
          <w:rFonts w:hint="eastAsia" w:ascii="宋体" w:hAnsi="宋体"/>
          <w:bCs/>
          <w:sz w:val="24"/>
          <w:u w:val="single"/>
        </w:rPr>
        <w:t xml:space="preserve"> </w:t>
      </w:r>
      <w:r>
        <w:rPr>
          <w:rFonts w:hint="eastAsia" w:ascii="宋体" w:hAnsi="宋体"/>
          <w:bCs/>
          <w:sz w:val="24"/>
        </w:rPr>
        <w:t>% 的违约金：</w:t>
      </w:r>
    </w:p>
    <w:p w14:paraId="63AF4D51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a) </w:t>
      </w:r>
      <w:r>
        <w:rPr>
          <w:rFonts w:hint="eastAsia" w:ascii="宋体" w:hAnsi="宋体"/>
          <w:bCs/>
          <w:sz w:val="24"/>
        </w:rPr>
        <w:t>培训质量存在严重问题，导致无法实现合同目的的；</w:t>
      </w:r>
    </w:p>
    <w:p w14:paraId="57360087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b) </w:t>
      </w:r>
      <w:r>
        <w:rPr>
          <w:rFonts w:hint="eastAsia" w:ascii="宋体" w:hAnsi="宋体"/>
          <w:bCs/>
          <w:sz w:val="24"/>
        </w:rPr>
        <w:t>将本合同义务转包或违法分包的；</w:t>
      </w:r>
    </w:p>
    <w:p w14:paraId="4DBF2EA8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 xml:space="preserve">c) </w:t>
      </w:r>
      <w:r>
        <w:rPr>
          <w:rFonts w:hint="eastAsia" w:ascii="宋体" w:hAnsi="宋体"/>
          <w:bCs/>
          <w:sz w:val="24"/>
        </w:rPr>
        <w:t>未经甲方同意，擅自更换主要授课教师的；</w:t>
      </w:r>
    </w:p>
    <w:p w14:paraId="4F6EA8F3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ascii="宋体" w:hAnsi="宋体"/>
          <w:bCs/>
          <w:sz w:val="24"/>
        </w:rPr>
        <w:t xml:space="preserve">d) </w:t>
      </w:r>
      <w:r>
        <w:rPr>
          <w:rFonts w:hint="eastAsia" w:ascii="宋体" w:hAnsi="宋体"/>
          <w:bCs/>
          <w:sz w:val="24"/>
        </w:rPr>
        <w:t>提供虚假培训档案或材料的。</w:t>
      </w:r>
    </w:p>
    <w:p w14:paraId="2D96FCEB">
      <w:pPr>
        <w:snapToGrid w:val="0"/>
        <w:spacing w:line="360" w:lineRule="auto"/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sz w:val="24"/>
        </w:rPr>
        <w:t>(4)</w:t>
      </w:r>
      <w:r>
        <w:rPr>
          <w:rFonts w:hint="eastAsia" w:ascii="宋体" w:hAnsi="宋体"/>
          <w:bCs/>
          <w:sz w:val="24"/>
        </w:rPr>
        <w:t>任何一方因违约给对方造成损失的，违约金不足以弥补损失的，违约方还应赔偿守约方的全部损失，包括但不限于直接经济损失、律师费、诉讼费等。</w:t>
      </w:r>
    </w:p>
    <w:p w14:paraId="53AF0E11">
      <w:pPr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十六、其他（</w:t>
      </w:r>
      <w:r>
        <w:rPr>
          <w:rFonts w:hint="eastAsia" w:ascii="宋体" w:hAnsi="宋体"/>
          <w:sz w:val="24"/>
        </w:rPr>
        <w:t>在合同中具体明确）</w:t>
      </w:r>
    </w:p>
    <w:p w14:paraId="5AFD3390">
      <w:pPr>
        <w:snapToGrid w:val="0"/>
        <w:spacing w:line="360" w:lineRule="auto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十七、合同订立</w:t>
      </w:r>
    </w:p>
    <w:p w14:paraId="605ADEA6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1. 订立时间：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日。</w:t>
      </w:r>
    </w:p>
    <w:p w14:paraId="249C2EFD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 订立地点：</w:t>
      </w:r>
      <w:r>
        <w:rPr>
          <w:rFonts w:hint="eastAsia" w:ascii="宋体" w:hAnsi="宋体"/>
          <w:sz w:val="24"/>
          <w:u w:val="single"/>
        </w:rPr>
        <w:t xml:space="preserve">                </w:t>
      </w:r>
      <w:r>
        <w:rPr>
          <w:rFonts w:hint="eastAsia" w:ascii="宋体" w:hAnsi="宋体"/>
          <w:sz w:val="24"/>
        </w:rPr>
        <w:t>。</w:t>
      </w:r>
    </w:p>
    <w:p w14:paraId="77A76751">
      <w:pPr>
        <w:tabs>
          <w:tab w:val="left" w:pos="980"/>
        </w:tabs>
        <w:kinsoku w:val="0"/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 本合同一式</w:t>
      </w:r>
      <w:r>
        <w:rPr>
          <w:rFonts w:hint="eastAsia"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</w:rPr>
        <w:t>份，具有同等法律效力，双方各执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份，监管部门备案</w:t>
      </w:r>
      <w:r>
        <w:rPr>
          <w:rFonts w:hint="eastAsia" w:ascii="宋体" w:hAnsi="宋体"/>
          <w:sz w:val="24"/>
          <w:u w:val="single"/>
        </w:rPr>
        <w:t>壹</w:t>
      </w:r>
      <w:r>
        <w:rPr>
          <w:rFonts w:hint="eastAsia" w:ascii="宋体" w:hAnsi="宋体"/>
          <w:sz w:val="24"/>
        </w:rPr>
        <w:t>份、采购代理机构存档</w:t>
      </w:r>
      <w:r>
        <w:rPr>
          <w:rFonts w:hint="eastAsia" w:ascii="宋体" w:hAnsi="宋体"/>
          <w:sz w:val="24"/>
          <w:u w:val="single"/>
        </w:rPr>
        <w:t>壹</w:t>
      </w:r>
      <w:r>
        <w:rPr>
          <w:rFonts w:hint="eastAsia" w:ascii="宋体" w:hAnsi="宋体"/>
          <w:sz w:val="24"/>
        </w:rPr>
        <w:t>份。各方签字盖章后生效，合同执行完毕自动失效。（合同的服务承诺则长期有效）。</w:t>
      </w:r>
    </w:p>
    <w:p w14:paraId="58D0E1D3">
      <w:pPr>
        <w:tabs>
          <w:tab w:val="left" w:pos="980"/>
        </w:tabs>
        <w:kinsoku w:val="0"/>
        <w:snapToGrid w:val="0"/>
        <w:spacing w:line="580" w:lineRule="exact"/>
        <w:ind w:firstLine="480"/>
        <w:rPr>
          <w:rFonts w:hint="eastAsia" w:ascii="宋体" w:hAnsi="宋体"/>
          <w:sz w:val="24"/>
        </w:rPr>
      </w:pPr>
    </w:p>
    <w:p w14:paraId="2DE8CA10">
      <w:pPr>
        <w:pStyle w:val="2"/>
        <w:ind w:firstLine="560"/>
      </w:pPr>
    </w:p>
    <w:p w14:paraId="5D88A533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采购人：</w:t>
      </w:r>
      <w:r>
        <w:rPr>
          <w:rFonts w:hint="eastAsia" w:ascii="宋体" w:hAnsi="宋体"/>
          <w:sz w:val="24"/>
          <w:u w:val="single"/>
        </w:rPr>
        <w:t xml:space="preserve">   （盖章）         </w:t>
      </w:r>
      <w:r>
        <w:rPr>
          <w:rFonts w:hint="eastAsia" w:ascii="宋体" w:hAnsi="宋体"/>
          <w:sz w:val="24"/>
        </w:rPr>
        <w:t xml:space="preserve">      供应商：</w:t>
      </w:r>
      <w:r>
        <w:rPr>
          <w:rFonts w:hint="eastAsia" w:ascii="宋体" w:hAnsi="宋体"/>
          <w:sz w:val="24"/>
          <w:u w:val="single"/>
        </w:rPr>
        <w:t xml:space="preserve">   （盖章）         </w:t>
      </w:r>
    </w:p>
    <w:p w14:paraId="6CF9364E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地  址：                          地  址： </w:t>
      </w:r>
    </w:p>
    <w:p w14:paraId="32A87424">
      <w:pPr>
        <w:snapToGrid w:val="0"/>
        <w:spacing w:line="360" w:lineRule="auto"/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邮政编码：                        邮政编码：</w:t>
      </w:r>
    </w:p>
    <w:p w14:paraId="5E93AB2F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法定代表人或其授权                法定代表人或其授权</w:t>
      </w:r>
    </w:p>
    <w:p w14:paraId="2A7D8567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的代理人：</w:t>
      </w:r>
      <w:r>
        <w:rPr>
          <w:rFonts w:hint="eastAsia" w:ascii="宋体" w:hAnsi="宋体"/>
          <w:sz w:val="24"/>
          <w:u w:val="single"/>
        </w:rPr>
        <w:t xml:space="preserve">（签字）          </w:t>
      </w:r>
      <w:r>
        <w:rPr>
          <w:rFonts w:hint="eastAsia" w:ascii="宋体" w:hAnsi="宋体"/>
          <w:sz w:val="24"/>
        </w:rPr>
        <w:t xml:space="preserve">      的代理人：</w:t>
      </w:r>
      <w:r>
        <w:rPr>
          <w:rFonts w:hint="eastAsia" w:ascii="宋体" w:hAnsi="宋体"/>
          <w:sz w:val="24"/>
          <w:u w:val="single"/>
        </w:rPr>
        <w:t xml:space="preserve">（签字）          </w:t>
      </w:r>
    </w:p>
    <w:p w14:paraId="4FC0FA55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开户银行：                        开户银行：</w:t>
      </w:r>
    </w:p>
    <w:p w14:paraId="20BFD9BD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账  号：                          账  号：</w:t>
      </w:r>
    </w:p>
    <w:p w14:paraId="26BBD55D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电  话：                          电  话：</w:t>
      </w:r>
    </w:p>
    <w:p w14:paraId="3B657638">
      <w:pPr>
        <w:snapToGrid w:val="0"/>
        <w:spacing w:line="360" w:lineRule="auto"/>
        <w:ind w:firstLine="475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传  真：                          传  真：</w:t>
      </w:r>
    </w:p>
    <w:p w14:paraId="11A0F2AD">
      <w:pPr>
        <w:pStyle w:val="5"/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电子邮箱：                        电子邮箱：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1E40F4"/>
    <w:rsid w:val="00021159"/>
    <w:rsid w:val="00103D35"/>
    <w:rsid w:val="00181E40"/>
    <w:rsid w:val="00217DC4"/>
    <w:rsid w:val="003160B9"/>
    <w:rsid w:val="00336A6B"/>
    <w:rsid w:val="005233C6"/>
    <w:rsid w:val="00892833"/>
    <w:rsid w:val="009E6104"/>
    <w:rsid w:val="00B17869"/>
    <w:rsid w:val="00CF0FA0"/>
    <w:rsid w:val="00DB665C"/>
    <w:rsid w:val="00E1464E"/>
    <w:rsid w:val="054C043F"/>
    <w:rsid w:val="0A6514A1"/>
    <w:rsid w:val="121E40F4"/>
    <w:rsid w:val="3F3C35E5"/>
    <w:rsid w:val="65AB20F2"/>
    <w:rsid w:val="7D953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/>
      <w:b/>
      <w:bCs/>
      <w:kern w:val="0"/>
      <w:sz w:val="27"/>
      <w:szCs w:val="27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 w:firstLineChars="200"/>
      <w:jc w:val="left"/>
    </w:pPr>
    <w:rPr>
      <w:szCs w:val="20"/>
    </w:rPr>
  </w:style>
  <w:style w:type="paragraph" w:styleId="3">
    <w:name w:val="Body Text Indent"/>
    <w:basedOn w:val="1"/>
    <w:next w:val="1"/>
    <w:qFormat/>
    <w:uiPriority w:val="0"/>
    <w:pPr>
      <w:widowControl/>
      <w:ind w:firstLine="652" w:firstLineChars="233"/>
    </w:pPr>
    <w:rPr>
      <w:kern w:val="0"/>
      <w:sz w:val="28"/>
    </w:rPr>
  </w:style>
  <w:style w:type="paragraph" w:styleId="5">
    <w:name w:val="Body Text"/>
    <w:basedOn w:val="1"/>
    <w:next w:val="6"/>
    <w:qFormat/>
    <w:uiPriority w:val="0"/>
    <w:pPr>
      <w:spacing w:after="120"/>
    </w:pPr>
  </w:style>
  <w:style w:type="paragraph" w:styleId="6">
    <w:name w:val="Body Text First Indent"/>
    <w:basedOn w:val="5"/>
    <w:unhideWhenUsed/>
    <w:qFormat/>
    <w:uiPriority w:val="0"/>
    <w:pPr>
      <w:ind w:firstLine="420" w:firstLineChars="100"/>
    </w:pPr>
    <w:rPr>
      <w:rFonts w:ascii="Times New Roman" w:hAnsi="Times New Roman"/>
      <w:szCs w:val="20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10">
    <w:name w:val="样式 首行缩进:  2 字符"/>
    <w:basedOn w:val="1"/>
    <w:autoRedefine/>
    <w:qFormat/>
    <w:uiPriority w:val="0"/>
    <w:pPr>
      <w:ind w:firstLine="560"/>
    </w:pPr>
    <w:rPr>
      <w:rFonts w:eastAsia="仿宋_GB2312" w:cs="宋体"/>
      <w:sz w:val="24"/>
      <w:szCs w:val="20"/>
    </w:rPr>
  </w:style>
  <w:style w:type="paragraph" w:styleId="11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2">
    <w:name w:val="正文1"/>
    <w:qFormat/>
    <w:uiPriority w:val="0"/>
    <w:pPr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customStyle="1" w:styleId="13">
    <w:name w:val="null3"/>
    <w:basedOn w:val="1"/>
    <w:qFormat/>
    <w:uiPriority w:val="0"/>
    <w:pPr>
      <w:widowControl/>
      <w:jc w:val="left"/>
    </w:pPr>
    <w:rPr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2401</Words>
  <Characters>2445</Characters>
  <Lines>25</Lines>
  <Paragraphs>80</Paragraphs>
  <TotalTime>59</TotalTime>
  <ScaleCrop>false</ScaleCrop>
  <LinksUpToDate>false</LinksUpToDate>
  <CharactersWithSpaces>2829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2025-04-08T13:11:00Z</dcterms:created>
  <dc:creator>L</dc:creator>
  <cp:lastModifiedBy>L</cp:lastModifiedBy>
  <dcterms:modified xsi:type="dcterms:W3CDTF">2025-11-04T05:02:26Z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3E67F197DAED4185984402041620BB42_11</vt:lpwstr>
  </property>
  <property fmtid="{D5CDD505-2E9C-101B-9397-08002B2CF9AE}" pid="4" name="KSOTemplateDocerSaveRecord">
    <vt:lpwstr>eyJoZGlkIjoiNjhkM2M2MWRiM2M1NThkZDJjYjhjMjk3OWYxZDU4ZjciLCJ1c2VySWQiOiIyNTY2NDg0MDgifQ==</vt:lpwstr>
  </property>
</Properties>
</file>