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版本号：SXJTZB-ZC-CS2025070820251031001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重症监护信息系统项目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SXJTZB-ZC-CS20250708</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重症监护信息系统项目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SXJTZB-ZC-CS20250708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重症监护信息系统项目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西安市胸科医院重症监护信息系统项目。具体详见技术参数与性能指标。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自2024年1月1日以来已缴存的至少一个月的社会保障资金缴存单据或社保机构开具的社会保险参保缴费情况证明（缴费种类至少包含养老保险），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8、关联关系：采购人职工及其配偶、直系亲属投资开办或在相关企业担任高管、独立董事等有重大利益关系职务的相关供应商，进入西安市卫健委各级系统“黑名单”的，不得参与磋商（提供承诺函）；</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供应商的成交金额为基数,参照《国家计委关于印发&lt;招标代理服务收费管理暂行办法&gt;的通知》(计价格[2002]1980号)规定执行下浮20%，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踏勘时间：2025-11-10 10:00:00</w:t>
            </w:r>
          </w:p>
          <w:p>
            <w:pPr>
              <w:pStyle w:val="null3"/>
              <w:ind w:firstLine="975"/>
            </w:pPr>
            <w:r>
              <w:rPr>
                <w:rFonts w:ascii="仿宋_GB2312" w:hAnsi="仿宋_GB2312" w:cs="仿宋_GB2312" w:eastAsia="仿宋_GB2312"/>
              </w:rPr>
              <w:t>踏勘地点：西安市胸科医院行政办公楼</w:t>
            </w:r>
          </w:p>
          <w:p>
            <w:pPr>
              <w:pStyle w:val="null3"/>
              <w:ind w:firstLine="975"/>
            </w:pPr>
            <w:r>
              <w:rPr>
                <w:rFonts w:ascii="仿宋_GB2312" w:hAnsi="仿宋_GB2312" w:cs="仿宋_GB2312" w:eastAsia="仿宋_GB2312"/>
              </w:rPr>
              <w:t>联系人：郝丽丽</w:t>
            </w:r>
          </w:p>
          <w:p>
            <w:pPr>
              <w:pStyle w:val="null3"/>
              <w:ind w:firstLine="975"/>
            </w:pPr>
            <w:r>
              <w:rPr>
                <w:rFonts w:ascii="仿宋_GB2312" w:hAnsi="仿宋_GB2312" w:cs="仿宋_GB2312" w:eastAsia="仿宋_GB2312"/>
              </w:rPr>
              <w:t>联系电话号码：029-62500115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符合国家、行业、地方规定以及采购人规定的质量及安全标准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西安市胸科医院重症监护信息系统项目。具体详见技术参数与性能指标。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重症监护信息系统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标的名称：重症监护信息系统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w:t>
            </w:r>
            <w:r>
              <w:rPr>
                <w:rFonts w:ascii="仿宋_GB2312" w:hAnsi="仿宋_GB2312" w:cs="仿宋_GB2312" w:eastAsia="仿宋_GB2312"/>
                <w:sz w:val="28"/>
                <w:b/>
              </w:rPr>
              <w:t>1.1 硬件对接需求</w:t>
            </w:r>
          </w:p>
          <w:p>
            <w:pPr>
              <w:pStyle w:val="null3"/>
              <w:jc w:val="both"/>
            </w:pPr>
            <w:r>
              <w:rPr>
                <w:rFonts w:ascii="仿宋_GB2312" w:hAnsi="仿宋_GB2312" w:cs="仿宋_GB2312" w:eastAsia="仿宋_GB2312"/>
                <w:sz w:val="22"/>
              </w:rPr>
              <w:t>在项目实施及维保期内新增设备无条件接入</w:t>
            </w:r>
          </w:p>
          <w:tbl>
            <w:tblPr>
              <w:tblInd w:type="dxa" w:w="90"/>
              <w:tblBorders>
                <w:top w:val="none" w:color="000000" w:sz="4"/>
                <w:left w:val="none" w:color="000000" w:sz="4"/>
                <w:bottom w:val="none" w:color="000000" w:sz="4"/>
                <w:right w:val="none" w:color="000000" w:sz="4"/>
                <w:insideH w:val="none"/>
                <w:insideV w:val="none"/>
              </w:tblBorders>
            </w:tblPr>
            <w:tblGrid>
              <w:gridCol w:w="257"/>
              <w:gridCol w:w="229"/>
              <w:gridCol w:w="660"/>
              <w:gridCol w:w="184"/>
              <w:gridCol w:w="464"/>
              <w:gridCol w:w="739"/>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重症设备</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设备品牌</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设备型号</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数量</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接口情况</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使用年限</w:t>
                  </w:r>
                </w:p>
              </w:tc>
            </w:tr>
            <w:tr>
              <w:tc>
                <w:tcPr>
                  <w:tcW w:type="dxa" w:w="2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监护仪</w:t>
                  </w:r>
                </w:p>
              </w:tc>
              <w:tc>
                <w:tcPr>
                  <w:tcW w:type="dxa" w:w="2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迈瑞</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BeneVisionN15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支持网口和串口或接迈瑞中央站</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4年</w:t>
                  </w:r>
                </w:p>
              </w:tc>
            </w:tr>
            <w:tr>
              <w:tc>
                <w:tcPr>
                  <w:tcW w:type="dxa" w:w="257"/>
                  <w:vMerge/>
                  <w:tcBorders>
                    <w:top w:val="none" w:color="000000" w:sz="4"/>
                    <w:left w:val="singl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BeneVisionN22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支持网口和串口或接迈瑞中央站</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3年</w:t>
                  </w:r>
                </w:p>
              </w:tc>
            </w:tr>
            <w:tr>
              <w:tc>
                <w:tcPr>
                  <w:tcW w:type="dxa" w:w="257"/>
                  <w:vMerge/>
                  <w:tcBorders>
                    <w:top w:val="none" w:color="000000" w:sz="4"/>
                    <w:left w:val="single" w:color="000000" w:sz="4"/>
                    <w:bottom w:val="none" w:color="000000" w:sz="4"/>
                    <w:right w:val="single" w:color="000000" w:sz="4"/>
                  </w:tcBorders>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飞利浦</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11年</w:t>
                  </w:r>
                </w:p>
              </w:tc>
            </w:tr>
            <w:tr>
              <w:tc>
                <w:tcPr>
                  <w:tcW w:type="dxa" w:w="2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呼吸机</w:t>
                  </w:r>
                </w:p>
              </w:tc>
              <w:tc>
                <w:tcPr>
                  <w:tcW w:type="dxa" w:w="2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迈瑞</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SV70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3个月</w:t>
                  </w:r>
                </w:p>
              </w:tc>
            </w:tr>
            <w:tr>
              <w:tc>
                <w:tcPr>
                  <w:tcW w:type="dxa" w:w="257"/>
                  <w:vMerge/>
                  <w:tcBorders>
                    <w:top w:val="none" w:color="000000" w:sz="4"/>
                    <w:left w:val="singl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SV800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257"/>
                  <w:vMerge/>
                  <w:tcBorders>
                    <w:top w:val="none" w:color="000000" w:sz="4"/>
                    <w:left w:val="singl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SV300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3年</w:t>
                  </w:r>
                </w:p>
              </w:tc>
            </w:tr>
            <w:tr>
              <w:tc>
                <w:tcPr>
                  <w:tcW w:type="dxa" w:w="257"/>
                  <w:vMerge/>
                  <w:tcBorders>
                    <w:top w:val="none" w:color="000000" w:sz="4"/>
                    <w:left w:val="single" w:color="000000" w:sz="4"/>
                    <w:bottom w:val="none" w:color="000000" w:sz="4"/>
                    <w:right w:val="single" w:color="000000" w:sz="4"/>
                  </w:tcBorders>
                </w:tcPr>
                <w:p/>
              </w:tc>
              <w:tc>
                <w:tcPr>
                  <w:tcW w:type="dxa" w:w="2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德尔格</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C500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1台支持串口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3年</w:t>
                  </w:r>
                </w:p>
              </w:tc>
            </w:tr>
            <w:tr>
              <w:tc>
                <w:tcPr>
                  <w:tcW w:type="dxa" w:w="257"/>
                  <w:vMerge/>
                  <w:tcBorders>
                    <w:top w:val="none" w:color="000000" w:sz="4"/>
                    <w:left w:val="singl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C300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支持网口和串口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9年</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合计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4"/>
              </w:rPr>
              <w:t>院方提供虚拟服务器资源，供应商负责安装所需服务端环境包括不限于数据库、中间件、操作系统等。需根据院方现有硬件完成硬件接入。</w:t>
            </w:r>
          </w:p>
          <w:p>
            <w:pPr>
              <w:pStyle w:val="null3"/>
            </w:pPr>
            <w:r>
              <w:rPr>
                <w:rFonts w:ascii="仿宋_GB2312" w:hAnsi="仿宋_GB2312" w:cs="仿宋_GB2312" w:eastAsia="仿宋_GB2312"/>
                <w:sz w:val="28"/>
                <w:b/>
              </w:rPr>
              <w:t>1.2软件对接需求</w:t>
            </w:r>
          </w:p>
          <w:p>
            <w:pPr>
              <w:pStyle w:val="null3"/>
              <w:jc w:val="both"/>
            </w:pPr>
            <w:r>
              <w:rPr>
                <w:rFonts w:ascii="仿宋_GB2312" w:hAnsi="仿宋_GB2312" w:cs="仿宋_GB2312" w:eastAsia="仿宋_GB2312"/>
                <w:sz w:val="21"/>
              </w:rPr>
              <w:t>在满足系统使用需求的前提下，项目实施及维保期内新增系统</w:t>
            </w:r>
            <w:r>
              <w:rPr>
                <w:rFonts w:ascii="仿宋_GB2312" w:hAnsi="仿宋_GB2312" w:cs="仿宋_GB2312" w:eastAsia="仿宋_GB2312"/>
                <w:sz w:val="22"/>
              </w:rPr>
              <w:t>无条件接入</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2"/>
              </w:rPr>
              <w:t>软件系统接口列表</w:t>
            </w:r>
          </w:p>
          <w:tbl>
            <w:tblPr>
              <w:tblBorders>
                <w:top w:val="none" w:color="000000" w:sz="4"/>
                <w:left w:val="none" w:color="000000" w:sz="4"/>
                <w:bottom w:val="none" w:color="000000" w:sz="4"/>
                <w:right w:val="none" w:color="000000" w:sz="4"/>
                <w:insideH w:val="none"/>
                <w:insideV w:val="none"/>
              </w:tblBorders>
            </w:tblPr>
            <w:tblGrid>
              <w:gridCol w:w="267"/>
              <w:gridCol w:w="2030"/>
              <w:gridCol w:w="243"/>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4"/>
                    </w:rPr>
                    <w:t>医院信息管理系统（</w:t>
                  </w:r>
                  <w:r>
                    <w:rPr>
                      <w:rFonts w:ascii="仿宋_GB2312" w:hAnsi="仿宋_GB2312" w:cs="仿宋_GB2312" w:eastAsia="仿宋_GB2312"/>
                      <w:sz w:val="24"/>
                    </w:rPr>
                    <w:t>HIS）</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电子病历系统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医生站信息系统（</w:t>
                  </w:r>
                  <w:r>
                    <w:rPr>
                      <w:rFonts w:ascii="仿宋_GB2312" w:hAnsi="仿宋_GB2312" w:cs="仿宋_GB2312" w:eastAsia="仿宋_GB2312"/>
                      <w:sz w:val="22"/>
                    </w:rPr>
                    <w:t>CIS）</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护理信息系统（</w:t>
                  </w:r>
                  <w:r>
                    <w:rPr>
                      <w:rFonts w:ascii="仿宋_GB2312" w:hAnsi="仿宋_GB2312" w:cs="仿宋_GB2312" w:eastAsia="仿宋_GB2312"/>
                      <w:sz w:val="22"/>
                    </w:rPr>
                    <w:t>NIS）</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医学影像管理系统</w:t>
                  </w:r>
                  <w:r>
                    <w:rPr>
                      <w:rFonts w:ascii="仿宋_GB2312" w:hAnsi="仿宋_GB2312" w:cs="仿宋_GB2312" w:eastAsia="仿宋_GB2312"/>
                      <w:sz w:val="22"/>
                    </w:rPr>
                    <w:t>（</w:t>
                  </w:r>
                  <w:r>
                    <w:rPr>
                      <w:rFonts w:ascii="仿宋_GB2312" w:hAnsi="仿宋_GB2312" w:cs="仿宋_GB2312" w:eastAsia="仿宋_GB2312"/>
                      <w:sz w:val="22"/>
                    </w:rPr>
                    <w:t>PACS</w:t>
                  </w:r>
                  <w:r>
                    <w:rPr>
                      <w:rFonts w:ascii="仿宋_GB2312" w:hAnsi="仿宋_GB2312" w:cs="仿宋_GB2312" w:eastAsia="仿宋_GB2312"/>
                      <w:sz w:val="22"/>
                    </w:rPr>
                    <w:t>）</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实验室信息管理系统（</w:t>
                  </w:r>
                  <w:r>
                    <w:rPr>
                      <w:rFonts w:ascii="仿宋_GB2312" w:hAnsi="仿宋_GB2312" w:cs="仿宋_GB2312" w:eastAsia="仿宋_GB2312"/>
                      <w:sz w:val="22"/>
                    </w:rPr>
                    <w:t>LIS）</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数据平台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电子签名（</w:t>
                  </w:r>
                  <w:r>
                    <w:rPr>
                      <w:rFonts w:ascii="仿宋_GB2312" w:hAnsi="仿宋_GB2312" w:cs="仿宋_GB2312" w:eastAsia="仿宋_GB2312"/>
                      <w:sz w:val="22"/>
                    </w:rPr>
                    <w:t>CA）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临床辅助决策</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院感系统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移动护理系统</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DRG</w:t>
                  </w:r>
                  <w:r>
                    <w:rPr>
                      <w:rFonts w:ascii="仿宋_GB2312" w:hAnsi="仿宋_GB2312" w:cs="仿宋_GB2312" w:eastAsia="仿宋_GB2312"/>
                      <w:sz w:val="22"/>
                    </w:rPr>
                    <w:t>付费</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其他必要软件</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b/>
              </w:rPr>
              <w:t>1.3硬件采购需求</w:t>
            </w:r>
          </w:p>
          <w:tbl>
            <w:tblPr>
              <w:tblBorders>
                <w:top w:val="none" w:color="000000" w:sz="4"/>
                <w:left w:val="none" w:color="000000" w:sz="4"/>
                <w:bottom w:val="none" w:color="000000" w:sz="4"/>
                <w:right w:val="none" w:color="000000" w:sz="4"/>
                <w:insideH w:val="none"/>
                <w:insideV w:val="none"/>
              </w:tblBorders>
            </w:tblPr>
            <w:tblGrid>
              <w:gridCol w:w="359"/>
              <w:gridCol w:w="453"/>
              <w:gridCol w:w="445"/>
              <w:gridCol w:w="1147"/>
            </w:tblGrid>
            <w:tr>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产品类型</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参数规格</w:t>
                  </w:r>
                </w:p>
              </w:tc>
            </w:tr>
            <w:tr>
              <w:tc>
                <w:tcPr>
                  <w:tcW w:type="dxa" w:w="3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配套硬件</w:t>
                  </w:r>
                </w:p>
                <w:p>
                  <w:pPr>
                    <w:pStyle w:val="null3"/>
                    <w:jc w:val="center"/>
                  </w:p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数据采集盒套件</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按实际对接设备数量确认</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满足各种设备对接。</w:t>
                  </w:r>
                </w:p>
              </w:tc>
            </w:tr>
            <w:tr>
              <w:tc>
                <w:tcPr>
                  <w:tcW w:type="dxa" w:w="359"/>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7台</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CPU:</w:t>
                  </w:r>
                  <w:r>
                    <w:rPr>
                      <w:rFonts w:ascii="仿宋_GB2312" w:hAnsi="仿宋_GB2312" w:cs="仿宋_GB2312" w:eastAsia="仿宋_GB2312"/>
                      <w:sz w:val="20"/>
                    </w:rPr>
                    <w:t>≥</w:t>
                  </w:r>
                  <w:r>
                    <w:rPr>
                      <w:rFonts w:ascii="仿宋_GB2312" w:hAnsi="仿宋_GB2312" w:cs="仿宋_GB2312" w:eastAsia="仿宋_GB2312"/>
                      <w:sz w:val="20"/>
                    </w:rPr>
                    <w:t>I5</w:t>
                  </w:r>
                  <w:r>
                    <w:rPr>
                      <w:rFonts w:ascii="仿宋_GB2312" w:hAnsi="仿宋_GB2312" w:cs="仿宋_GB2312" w:eastAsia="仿宋_GB2312"/>
                      <w:sz w:val="20"/>
                    </w:rPr>
                    <w:t>-</w:t>
                  </w:r>
                  <w:r>
                    <w:rPr>
                      <w:rFonts w:ascii="仿宋_GB2312" w:hAnsi="仿宋_GB2312" w:cs="仿宋_GB2312" w:eastAsia="仿宋_GB2312"/>
                      <w:sz w:val="20"/>
                    </w:rPr>
                    <w:t>12400，内存：</w:t>
                  </w:r>
                  <w:r>
                    <w:rPr>
                      <w:rFonts w:ascii="仿宋_GB2312" w:hAnsi="仿宋_GB2312" w:cs="仿宋_GB2312" w:eastAsia="仿宋_GB2312"/>
                      <w:sz w:val="20"/>
                    </w:rPr>
                    <w:t>≥32</w:t>
                  </w:r>
                  <w:r>
                    <w:rPr>
                      <w:rFonts w:ascii="仿宋_GB2312" w:hAnsi="仿宋_GB2312" w:cs="仿宋_GB2312" w:eastAsia="仿宋_GB2312"/>
                      <w:sz w:val="20"/>
                    </w:rPr>
                    <w:t>G，存储：</w:t>
                  </w:r>
                  <w:r>
                    <w:rPr>
                      <w:rFonts w:ascii="仿宋_GB2312" w:hAnsi="仿宋_GB2312" w:cs="仿宋_GB2312" w:eastAsia="仿宋_GB2312"/>
                      <w:sz w:val="20"/>
                    </w:rPr>
                    <w:t>≥</w:t>
                  </w:r>
                  <w:r>
                    <w:rPr>
                      <w:rFonts w:ascii="仿宋_GB2312" w:hAnsi="仿宋_GB2312" w:cs="仿宋_GB2312" w:eastAsia="仿宋_GB2312"/>
                      <w:sz w:val="20"/>
                    </w:rPr>
                    <w:t>SSD 1T，屏幕23.8</w:t>
                  </w:r>
                  <w:r>
                    <w:rPr>
                      <w:rFonts w:ascii="仿宋_GB2312" w:hAnsi="仿宋_GB2312" w:cs="仿宋_GB2312" w:eastAsia="仿宋_GB2312"/>
                      <w:sz w:val="20"/>
                    </w:rPr>
                    <w:t>英</w:t>
                  </w:r>
                  <w:r>
                    <w:rPr>
                      <w:rFonts w:ascii="仿宋_GB2312" w:hAnsi="仿宋_GB2312" w:cs="仿宋_GB2312" w:eastAsia="仿宋_GB2312"/>
                      <w:sz w:val="20"/>
                    </w:rPr>
                    <w:t>寸。</w:t>
                  </w:r>
                </w:p>
              </w:tc>
            </w:tr>
            <w:tr>
              <w:tc>
                <w:tcPr>
                  <w:tcW w:type="dxa" w:w="359"/>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黑白打印机</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喷墨打印；最大分辨率：</w:t>
                  </w:r>
                  <w:r>
                    <w:rPr>
                      <w:rFonts w:ascii="仿宋_GB2312" w:hAnsi="仿宋_GB2312" w:cs="仿宋_GB2312" w:eastAsia="仿宋_GB2312"/>
                      <w:sz w:val="20"/>
                    </w:rPr>
                    <w:t>4800 x 1200dpi；打印速度：文本≥13页/分钟；打印机接口：USB接口及有线、无线网络；</w:t>
                  </w:r>
                  <w:r>
                    <w:rPr>
                      <w:rFonts w:ascii="仿宋_GB2312" w:hAnsi="仿宋_GB2312" w:cs="仿宋_GB2312" w:eastAsia="仿宋_GB2312"/>
                      <w:sz w:val="20"/>
                    </w:rPr>
                    <w:t>支持自动双面打印；</w:t>
                  </w:r>
                  <w:r>
                    <w:rPr>
                      <w:rFonts w:ascii="仿宋_GB2312" w:hAnsi="仿宋_GB2312" w:cs="仿宋_GB2312" w:eastAsia="仿宋_GB2312"/>
                      <w:sz w:val="20"/>
                    </w:rPr>
                    <w:t>支持纸张尺寸：</w:t>
                  </w:r>
                  <w:r>
                    <w:rPr>
                      <w:rFonts w:ascii="仿宋_GB2312" w:hAnsi="仿宋_GB2312" w:cs="仿宋_GB2312" w:eastAsia="仿宋_GB2312"/>
                      <w:sz w:val="20"/>
                    </w:rPr>
                    <w:t>A3+，A3，A4，A5，A6，B4，B5，B6，3.5x5英寸，4x6英寸，5x7英寸，5x8英寸，8x10英寸，8.5x13英寸，100x148毫米，信封 #10，信封 DL,信封C4，信封 C6，信纸 8.5x11英寸，Legal 8.5x14英寸，8K，16K，用户自定义 (89x127 ~ 329x1200mm)；支持最大纸张尺寸：329x1200mm；驱动支持的操作系统：Windows XP/Vista/7/8/8.1或更高、Mac OS X 10.6.8, 10.7.x, 10.8.x, 10.9.x, 10.10.x或更高</w:t>
                  </w:r>
                </w:p>
              </w:tc>
            </w:tr>
            <w:tr>
              <w:tc>
                <w:tcPr>
                  <w:tcW w:type="dxa" w:w="359"/>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彩色打印机</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激光</w:t>
                  </w:r>
                  <w:r>
                    <w:rPr>
                      <w:rFonts w:ascii="仿宋_GB2312" w:hAnsi="仿宋_GB2312" w:cs="仿宋_GB2312" w:eastAsia="仿宋_GB2312"/>
                      <w:sz w:val="20"/>
                    </w:rPr>
                    <w:t>打印；支持</w:t>
                  </w:r>
                  <w:r>
                    <w:rPr>
                      <w:rFonts w:ascii="仿宋_GB2312" w:hAnsi="仿宋_GB2312" w:cs="仿宋_GB2312" w:eastAsia="仿宋_GB2312"/>
                      <w:sz w:val="20"/>
                    </w:rPr>
                    <w:t>A4幅面打印；打印质量：最大分辨率：5760 x 1440 dpi ；打印速度：≥22页/分钟；打印机接口：USB接口及有线、无线网络：软件支持：驱动支持的操作系统</w:t>
                  </w:r>
                  <w:r>
                    <w:rPr>
                      <w:rFonts w:ascii="仿宋_GB2312" w:hAnsi="仿宋_GB2312" w:cs="仿宋_GB2312" w:eastAsia="仿宋_GB2312"/>
                      <w:sz w:val="20"/>
                    </w:rPr>
                    <w:t>Windows XP/Vista/7/8/8.1或更高</w:t>
                  </w:r>
                </w:p>
                <w:p>
                  <w:pPr>
                    <w:pStyle w:val="null3"/>
                  </w:pPr>
                  <w:r>
                    <w:rPr>
                      <w:rFonts w:ascii="仿宋_GB2312" w:hAnsi="仿宋_GB2312" w:cs="仿宋_GB2312" w:eastAsia="仿宋_GB2312"/>
                      <w:sz w:val="20"/>
                    </w:rPr>
                    <w:t>Mac OS X 10.6.8, 10.7.x, 10.8.x, 10.9.x, 10.10.x或更高</w:t>
                  </w:r>
                  <w:r>
                    <w:rPr>
                      <w:rFonts w:ascii="仿宋_GB2312" w:hAnsi="仿宋_GB2312" w:cs="仿宋_GB2312" w:eastAsia="仿宋_GB2312"/>
                      <w:sz w:val="20"/>
                    </w:rPr>
                    <w:t>；支持外挂墨盒。</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应用软件</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重症监护信息系统</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30床</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详见软件功能需求。</w:t>
                  </w:r>
                </w:p>
              </w:tc>
            </w:tr>
          </w:tbl>
          <w:p>
            <w:pPr>
              <w:pStyle w:val="null3"/>
            </w:pPr>
            <w:r>
              <w:rPr>
                <w:rFonts w:ascii="仿宋_GB2312" w:hAnsi="仿宋_GB2312" w:cs="仿宋_GB2312" w:eastAsia="仿宋_GB2312"/>
                <w:sz w:val="28"/>
                <w:b/>
              </w:rPr>
              <w:t>1.4软件功能需求</w:t>
            </w:r>
          </w:p>
          <w:p>
            <w:pPr>
              <w:pStyle w:val="null3"/>
            </w:pPr>
            <w:r>
              <w:rPr>
                <w:rFonts w:ascii="仿宋_GB2312" w:hAnsi="仿宋_GB2312" w:cs="仿宋_GB2312" w:eastAsia="仿宋_GB2312"/>
                <w:sz w:val="21"/>
              </w:rPr>
              <w:t>系统功能技术参数要求</w:t>
            </w:r>
          </w:p>
          <w:p>
            <w:pPr>
              <w:pStyle w:val="null3"/>
            </w:pPr>
            <w:r>
              <w:rPr>
                <w:rFonts w:ascii="仿宋_GB2312" w:hAnsi="仿宋_GB2312" w:cs="仿宋_GB2312" w:eastAsia="仿宋_GB2312"/>
                <w:sz w:val="21"/>
              </w:rPr>
              <w:t>注：投标产品需要满足以下功能需求表，</w:t>
            </w:r>
            <w:r>
              <w:rPr>
                <w:rFonts w:ascii="仿宋_GB2312" w:hAnsi="仿宋_GB2312" w:cs="仿宋_GB2312" w:eastAsia="仿宋_GB2312"/>
                <w:sz w:val="21"/>
              </w:rPr>
              <w:t>▲为重要技术参数，需提供对应系统</w:t>
            </w:r>
            <w:r>
              <w:rPr>
                <w:rFonts w:ascii="仿宋_GB2312" w:hAnsi="仿宋_GB2312" w:cs="仿宋_GB2312" w:eastAsia="仿宋_GB2312"/>
                <w:sz w:val="21"/>
              </w:rPr>
              <w:t>证明材料</w:t>
            </w:r>
            <w:r>
              <w:rPr>
                <w:rFonts w:ascii="仿宋_GB2312" w:hAnsi="仿宋_GB2312" w:cs="仿宋_GB2312" w:eastAsia="仿宋_GB2312"/>
                <w:sz w:val="21"/>
              </w:rPr>
              <w:t>，并需进行现场模拟软件内容展示，</w:t>
            </w:r>
            <w:r>
              <w:rPr>
                <w:rFonts w:ascii="仿宋_GB2312" w:hAnsi="仿宋_GB2312" w:cs="仿宋_GB2312" w:eastAsia="仿宋_GB2312"/>
                <w:sz w:val="21"/>
              </w:rPr>
              <w:t>未进行现场</w:t>
            </w:r>
            <w:r>
              <w:rPr>
                <w:rFonts w:ascii="仿宋_GB2312" w:hAnsi="仿宋_GB2312" w:cs="仿宋_GB2312" w:eastAsia="仿宋_GB2312"/>
                <w:sz w:val="21"/>
              </w:rPr>
              <w:t>模拟软件演示视为</w:t>
            </w:r>
            <w:r>
              <w:rPr>
                <w:rFonts w:ascii="仿宋_GB2312" w:hAnsi="仿宋_GB2312" w:cs="仿宋_GB2312" w:eastAsia="仿宋_GB2312"/>
                <w:sz w:val="21"/>
              </w:rPr>
              <w:t>▲不符合要求。</w:t>
            </w:r>
          </w:p>
          <w:tbl>
            <w:tblPr>
              <w:tblBorders>
                <w:top w:val="none" w:color="000000" w:sz="4"/>
                <w:left w:val="none" w:color="000000" w:sz="4"/>
                <w:bottom w:val="none" w:color="000000" w:sz="4"/>
                <w:right w:val="none" w:color="000000" w:sz="4"/>
                <w:insideH w:val="none"/>
                <w:insideV w:val="none"/>
              </w:tblBorders>
            </w:tblPr>
            <w:tblGrid>
              <w:gridCol w:w="412"/>
              <w:gridCol w:w="1907"/>
            </w:tblGrid>
            <w:tr>
              <w:tc>
                <w:tcPr>
                  <w:tcW w:type="dxa" w:w="41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系统模块</w:t>
                  </w:r>
                </w:p>
              </w:tc>
              <w:tc>
                <w:tcPr>
                  <w:tcW w:type="dxa" w:w="190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功能说明</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门户界面</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支持显示用户模块，可编辑用户个人信息，可切换账号（退出至登录界面）。</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支持显示当天该用户代办事项，可以根据日历选择不同日期进行按天查阅。</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支持显示院内公告、科室公告</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抢救</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为满足使用科室实际需要，系统需</w:t>
                  </w:r>
                  <w:r>
                    <w:rPr>
                      <w:rFonts w:ascii="仿宋_GB2312" w:hAnsi="仿宋_GB2312" w:cs="仿宋_GB2312" w:eastAsia="仿宋_GB2312"/>
                      <w:sz w:val="20"/>
                    </w:rPr>
                    <w:t>支持一键抢救采集模式，采集频率可手动调整，抢救护理记录能够自动生成，具有快速记录功能</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全景医疗</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支持对患者整个诊疗过程的所有文书，评分，医嘱，信息汇总，便于医护人员及时对患者实时的综合情况进行评判</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预警设置</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支持对单个患者体征预警范围调整，并记录过往调整内容，在整个预警过程中可追溯</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消息提醒</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支持对单个患者体征异常提醒、新医嘱提醒、重要评分提醒、导管有效期提醒、交接班提醒、代办事项提醒等</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科室状态</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科室当前的情况进行可视化图形文本方式展示；显示患者总数及普通、病重、危重的患者数量；展现在科患者医保类型分布情况；今日出入科患者数量；当前科室床位占用率、科室死亡率；在科患者性别、年龄分布情况；</w:t>
                  </w:r>
                  <w:r>
                    <w:rPr>
                      <w:rFonts w:ascii="仿宋_GB2312" w:hAnsi="仿宋_GB2312" w:cs="仿宋_GB2312" w:eastAsia="仿宋_GB2312"/>
                      <w:sz w:val="20"/>
                    </w:rPr>
                    <w:t>符合中省市要求</w:t>
                  </w:r>
                  <w:r>
                    <w:rPr>
                      <w:rFonts w:ascii="仿宋_GB2312" w:hAnsi="仿宋_GB2312" w:cs="仿宋_GB2312" w:eastAsia="仿宋_GB2312"/>
                      <w:sz w:val="20"/>
                    </w:rPr>
                    <w:t>显示当月重症医学科质控指标统计；显示当前科室患者风险统计功能；显示当前科室患者</w:t>
                  </w:r>
                  <w:r>
                    <w:rPr>
                      <w:rFonts w:ascii="仿宋_GB2312" w:hAnsi="仿宋_GB2312" w:cs="仿宋_GB2312" w:eastAsia="仿宋_GB2312"/>
                      <w:sz w:val="20"/>
                    </w:rPr>
                    <w:t>APACHEⅡ评分分布情况</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科室看板</w:t>
                  </w:r>
                  <w:r>
                    <w:rPr>
                      <w:rFonts w:ascii="仿宋_GB2312" w:hAnsi="仿宋_GB2312" w:cs="仿宋_GB2312" w:eastAsia="仿宋_GB2312"/>
                      <w:sz w:val="20"/>
                    </w:rPr>
                    <w:t>/病房概览</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00"/>
                    <w:jc w:val="both"/>
                  </w:pPr>
                  <w:r>
                    <w:rPr>
                      <w:rFonts w:ascii="仿宋_GB2312" w:hAnsi="仿宋_GB2312" w:cs="仿宋_GB2312" w:eastAsia="仿宋_GB2312"/>
                      <w:sz w:val="20"/>
                    </w:rPr>
                    <w:t>系统支持科室看板</w:t>
                  </w:r>
                  <w:r>
                    <w:rPr>
                      <w:rFonts w:ascii="仿宋_GB2312" w:hAnsi="仿宋_GB2312" w:cs="仿宋_GB2312" w:eastAsia="仿宋_GB2312"/>
                      <w:sz w:val="20"/>
                    </w:rPr>
                    <w:t>/病房概览功能，可查看病房全局状况，包括月床位数情况，气管插管人数，转出出院人数统计，死亡人数统计，APACHEII评分，病情流动情况汇总，包括总床位数、空床数、在科人数、耐药菌人数、ECMO使用人数、PICCO使用人数，科室患者床位图，包括、管床医生、护士，住院天数，特殊治疗，包括ECMO、PICCO，若患者使用该特殊治疗，则在床位图显示特殊治疗名称。查看信息公告情况，包括床位预约情况，特殊事件通告。</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床卡信息</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界面支持以床卡（可以勾选显示空床）</w:t>
                  </w:r>
                  <w:r>
                    <w:rPr>
                      <w:rFonts w:ascii="仿宋_GB2312" w:hAnsi="仿宋_GB2312" w:cs="仿宋_GB2312" w:eastAsia="仿宋_GB2312"/>
                      <w:sz w:val="20"/>
                    </w:rPr>
                    <w:t>/列表两种方式显示在科患者信息。</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接收患者，患者向导式入科；按照危重程度、</w:t>
                  </w:r>
                </w:p>
                <w:p>
                  <w:pPr>
                    <w:pStyle w:val="null3"/>
                    <w:jc w:val="both"/>
                  </w:pPr>
                  <w:r>
                    <w:rPr>
                      <w:rFonts w:ascii="仿宋_GB2312" w:hAnsi="仿宋_GB2312" w:cs="仿宋_GB2312" w:eastAsia="仿宋_GB2312"/>
                      <w:sz w:val="20"/>
                    </w:rPr>
                    <w:t>APACHEⅡ、GCS、SOFA分区间筛查患者信息；按照新入科、坠床风险、需要隔离、导管风险、压疮风险、AKI风险、过敏、受约束、药品监测、危急值</w:t>
                  </w:r>
                  <w:r>
                    <w:rPr>
                      <w:rFonts w:ascii="仿宋_GB2312" w:hAnsi="仿宋_GB2312" w:cs="仿宋_GB2312" w:eastAsia="仿宋_GB2312"/>
                      <w:sz w:val="20"/>
                    </w:rPr>
                    <w:t>等</w:t>
                  </w:r>
                  <w:r>
                    <w:rPr>
                      <w:rFonts w:ascii="仿宋_GB2312" w:hAnsi="仿宋_GB2312" w:cs="仿宋_GB2312" w:eastAsia="仿宋_GB2312"/>
                      <w:sz w:val="20"/>
                    </w:rPr>
                    <w:t>筛查患者信息；床卡及列表中均有出科、换床功能</w:t>
                  </w:r>
                  <w:r>
                    <w:rPr>
                      <w:rFonts w:ascii="仿宋_GB2312" w:hAnsi="仿宋_GB2312" w:cs="仿宋_GB2312" w:eastAsia="仿宋_GB2312"/>
                      <w:sz w:val="20"/>
                    </w:rPr>
                    <w:t>。</w:t>
                  </w:r>
                  <w:r>
                    <w:rPr>
                      <w:rFonts w:ascii="仿宋_GB2312" w:hAnsi="仿宋_GB2312" w:cs="仿宋_GB2312" w:eastAsia="仿宋_GB2312"/>
                      <w:sz w:val="20"/>
                    </w:rPr>
                    <w:t>患者卡片体现隔离、过敏、耐药菌信息，在卡片底色</w:t>
                  </w:r>
                  <w:r>
                    <w:rPr>
                      <w:rFonts w:ascii="仿宋_GB2312" w:hAnsi="仿宋_GB2312" w:cs="仿宋_GB2312" w:eastAsia="仿宋_GB2312"/>
                      <w:sz w:val="20"/>
                    </w:rPr>
                    <w:t>显示</w:t>
                  </w:r>
                  <w:r>
                    <w:rPr>
                      <w:rFonts w:ascii="仿宋_GB2312" w:hAnsi="仿宋_GB2312" w:cs="仿宋_GB2312" w:eastAsia="仿宋_GB2312"/>
                      <w:sz w:val="20"/>
                    </w:rPr>
                    <w:t>（隔离黄色，悬浮详情）、过敏（（</w:t>
                  </w:r>
                  <w:r>
                    <w:rPr>
                      <w:rFonts w:ascii="仿宋_GB2312" w:hAnsi="仿宋_GB2312" w:cs="仿宋_GB2312" w:eastAsia="仿宋_GB2312"/>
                      <w:sz w:val="20"/>
                    </w:rPr>
                    <w:t>+），悬浮详情）、耐药菌（耐，悬浮详情）</w:t>
                  </w:r>
                  <w:r>
                    <w:rPr>
                      <w:rFonts w:ascii="仿宋_GB2312" w:hAnsi="仿宋_GB2312" w:cs="仿宋_GB2312" w:eastAsia="仿宋_GB2312"/>
                      <w:sz w:val="20"/>
                    </w:rPr>
                    <w:t>等信息。</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可显示接收患者列表，无待入科信息时患者列表隐藏</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w:t>
                  </w:r>
                  <w:r>
                    <w:rPr>
                      <w:rFonts w:ascii="仿宋_GB2312" w:hAnsi="仿宋_GB2312" w:cs="仿宋_GB2312" w:eastAsia="仿宋_GB2312"/>
                      <w:sz w:val="20"/>
                    </w:rPr>
                    <w:t>出</w:t>
                  </w:r>
                  <w:r>
                    <w:rPr>
                      <w:rFonts w:ascii="仿宋_GB2312" w:hAnsi="仿宋_GB2312" w:cs="仿宋_GB2312" w:eastAsia="仿宋_GB2312"/>
                      <w:sz w:val="20"/>
                    </w:rPr>
                    <w:t>入科</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为规范科室患者管理，系统需</w:t>
                  </w:r>
                  <w:r>
                    <w:rPr>
                      <w:rFonts w:ascii="仿宋_GB2312" w:hAnsi="仿宋_GB2312" w:cs="仿宋_GB2312" w:eastAsia="仿宋_GB2312"/>
                      <w:sz w:val="20"/>
                    </w:rPr>
                    <w:t>支持向导式入科</w:t>
                  </w:r>
                  <w:r>
                    <w:rPr>
                      <w:rFonts w:ascii="仿宋_GB2312" w:hAnsi="仿宋_GB2312" w:cs="仿宋_GB2312" w:eastAsia="仿宋_GB2312"/>
                      <w:sz w:val="20"/>
                    </w:rPr>
                    <w:t>功能，一是满足患者入科流程化需要，二是在流程中可体现患者入科过程质控。</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为规范科室患者管理，系统需</w:t>
                  </w:r>
                  <w:r>
                    <w:rPr>
                      <w:rFonts w:ascii="仿宋_GB2312" w:hAnsi="仿宋_GB2312" w:cs="仿宋_GB2312" w:eastAsia="仿宋_GB2312"/>
                      <w:sz w:val="20"/>
                    </w:rPr>
                    <w:t>支持向导式</w:t>
                  </w:r>
                  <w:r>
                    <w:rPr>
                      <w:rFonts w:ascii="仿宋_GB2312" w:hAnsi="仿宋_GB2312" w:cs="仿宋_GB2312" w:eastAsia="仿宋_GB2312"/>
                      <w:sz w:val="20"/>
                    </w:rPr>
                    <w:t>出</w:t>
                  </w:r>
                  <w:r>
                    <w:rPr>
                      <w:rFonts w:ascii="仿宋_GB2312" w:hAnsi="仿宋_GB2312" w:cs="仿宋_GB2312" w:eastAsia="仿宋_GB2312"/>
                      <w:sz w:val="20"/>
                    </w:rPr>
                    <w:t>科</w:t>
                  </w:r>
                  <w:r>
                    <w:rPr>
                      <w:rFonts w:ascii="仿宋_GB2312" w:hAnsi="仿宋_GB2312" w:cs="仿宋_GB2312" w:eastAsia="仿宋_GB2312"/>
                      <w:sz w:val="20"/>
                    </w:rPr>
                    <w:t>功能，一是满足患者出科流程化需要，二是在流程中可体现患者出科过程质控。</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历史患者</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历史患者查询，支持</w:t>
                  </w:r>
                  <w:r>
                    <w:rPr>
                      <w:rFonts w:ascii="仿宋_GB2312" w:hAnsi="仿宋_GB2312" w:cs="仿宋_GB2312" w:eastAsia="仿宋_GB2312"/>
                      <w:sz w:val="20"/>
                    </w:rPr>
                    <w:t>7日、30日、全部快速查询；条件查询（出科时间、年龄段、诊断、姓名、床号、住院号、在科天数），条件可清空；可查看所有数据（选中患者，不可操作）</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根据科室工作流程，系统需支持历史患者召回功能；可查看患者基本信息及编辑患者出科相关的信息。</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在科评估</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为方便操作，</w:t>
                  </w:r>
                  <w:r>
                    <w:rPr>
                      <w:rFonts w:ascii="仿宋_GB2312" w:hAnsi="仿宋_GB2312" w:cs="仿宋_GB2312" w:eastAsia="仿宋_GB2312"/>
                      <w:sz w:val="20"/>
                    </w:rPr>
                    <w:t>界面支持分两部分，一部分显示当前患者床卡标签配置，另一部分显示配置记录</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可对标签显示配置的增加、删除、修改功能。</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实时病情</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支持按班次分类，汇总用药信息、管路情况、异常数据、危急值、特殊事件、异常评分等做对比</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提供快捷方式跳转至床卡信息界面、跳转至医嘱执行界面。</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医嘱执行</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可根据班次、全天快速切换显示；可根据医嘱类型（长期、临时）、医嘱用法（泵注、静滴、口服、鼻饲等）分组显示</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可对医嘱执行、停止、删除、补录功能</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泵入药品可按速度执行，自动计算入量，并汇总到患者入量累计中。</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可以自定义增加时间段、时间点</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观察项</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可根据班次、全天快速切换显示；组别可以折叠</w:t>
                  </w:r>
                  <w:r>
                    <w:rPr>
                      <w:rFonts w:ascii="仿宋_GB2312" w:hAnsi="仿宋_GB2312" w:cs="仿宋_GB2312" w:eastAsia="仿宋_GB2312"/>
                      <w:sz w:val="20"/>
                    </w:rPr>
                    <w:t>/展开显示。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为了方便查看，患者生命体征组别可以切换为折线图方式显示，也可切回列表显示；意识、活性药物、胃</w:t>
                  </w:r>
                  <w:r>
                    <w:rPr>
                      <w:rFonts w:ascii="仿宋_GB2312" w:hAnsi="仿宋_GB2312" w:cs="仿宋_GB2312" w:eastAsia="仿宋_GB2312"/>
                      <w:sz w:val="20"/>
                    </w:rPr>
                    <w:t>/排泄、其他数据以列表形式显示。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可以自定义增加时间段、时间点。</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可以设置当前患者监测参数异常值预警范围。</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对监测参数的显示或隐藏可进行配置。</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辅助呼吸</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呼吸机的上机操作（此处应考虑到入科时是否配置呼吸机）；呼吸机的下机操作；呼吸机历次使用记录列表，点击可查看详细数据；为适应医护使用习惯，可以切换为图表方式显示，也可切回列表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可以设置当前患者呼吸参数异常值预警范围。</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对监测参数的显示或隐藏可进行配置。</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可以对数据进行补录，单次补录和区间补录。</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导管护理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界面支持分为两部分，一部分显示时间轴（置管时间排列），另一部分显示置管详细记录。</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支持管道有效期预警，感染标识。</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可对管道的新增、拔管、换管、删除功能。</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可以根据置管中</w:t>
                  </w:r>
                  <w:r>
                    <w:rPr>
                      <w:rFonts w:ascii="仿宋_GB2312" w:hAnsi="仿宋_GB2312" w:cs="仿宋_GB2312" w:eastAsia="仿宋_GB2312"/>
                      <w:sz w:val="20"/>
                    </w:rPr>
                    <w:t>/已拔管进行筛查显示。</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三管监测</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可对呼吸机相关性肺炎监测（</w:t>
                  </w:r>
                  <w:r>
                    <w:rPr>
                      <w:rFonts w:ascii="仿宋_GB2312" w:hAnsi="仿宋_GB2312" w:cs="仿宋_GB2312" w:eastAsia="仿宋_GB2312"/>
                      <w:sz w:val="20"/>
                    </w:rPr>
                    <w:t>VAP）增加、删除、修改功能。记录是否感染，以及感染时插管时长。</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可对导管相关血流感染监测（</w:t>
                  </w:r>
                  <w:r>
                    <w:rPr>
                      <w:rFonts w:ascii="仿宋_GB2312" w:hAnsi="仿宋_GB2312" w:cs="仿宋_GB2312" w:eastAsia="仿宋_GB2312"/>
                      <w:sz w:val="20"/>
                    </w:rPr>
                    <w:t>CRBSI）增加、删除、修改功能。记录是否感染，以及感染时插管时长。</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可对导尿管相关尿路监测（</w:t>
                  </w:r>
                  <w:r>
                    <w:rPr>
                      <w:rFonts w:ascii="仿宋_GB2312" w:hAnsi="仿宋_GB2312" w:cs="仿宋_GB2312" w:eastAsia="仿宋_GB2312"/>
                      <w:sz w:val="20"/>
                    </w:rPr>
                    <w:t>CAUTIS）增加、删除、修改功能。记录是否感染，以及感染时插管时长。</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出入量</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支持根据出入量项目类型、时间点、班次三种维度的出入量累计汇总和平衡量计算。</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支持实时显示当前患者出入量。</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可根据班次、全天快速切换显示；患者出入量数据可以以列表、堆积图柱状图方式来切换显示；统计汇总出入量数据</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可对出入量参数显示隐藏可配置</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护理记录</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可根据班次、全天快速切换显示；插入当前班次已执行医嘱</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支持护理文书书写记录合规性、规范性审核机制。</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支持所有记录电子签名。</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可对护理记录新增、删除、修改功能（删除和修改仅支持对自己新增的护理记录进行操作）</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可对护理模板保存（科室和个人），快速插入所选护理模板（可选科室和个人）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移动护理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支持与医院现有或新建的移动护理系统完成信息交互</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特殊治疗</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w:t>
                  </w:r>
                  <w:r>
                    <w:rPr>
                      <w:rFonts w:ascii="仿宋_GB2312" w:hAnsi="仿宋_GB2312" w:cs="仿宋_GB2312" w:eastAsia="仿宋_GB2312"/>
                      <w:sz w:val="20"/>
                    </w:rPr>
                    <w:t>CRRT治疗记录，增加、删除、修改功能</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可对血液净化记录，增加、删除、修改功能</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支持集束化治疗记录，增加、删除、修改功能</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ECMO治疗记录，增加、删除、修改功能</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PICCO治疗记录，增加、删除、修改功能</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护理评分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可根据班次、全天快速切换显示；系统含评分包括</w:t>
                  </w:r>
                  <w:r>
                    <w:rPr>
                      <w:rFonts w:ascii="仿宋_GB2312" w:hAnsi="仿宋_GB2312" w:cs="仿宋_GB2312" w:eastAsia="仿宋_GB2312"/>
                      <w:sz w:val="20"/>
                    </w:rPr>
                    <w:t>GLASGOW昏迷评分、镇痛镇静评分、NRS-2002评分、</w:t>
                  </w:r>
                  <w:r>
                    <w:rPr>
                      <w:rFonts w:ascii="仿宋_GB2312" w:hAnsi="仿宋_GB2312" w:cs="仿宋_GB2312" w:eastAsia="仿宋_GB2312"/>
                      <w:sz w:val="20"/>
                    </w:rPr>
                    <w:t>压疮危险因素评分、导管脱落危险因素评分，</w:t>
                  </w:r>
                  <w:r>
                    <w:rPr>
                      <w:rFonts w:ascii="仿宋_GB2312" w:hAnsi="仿宋_GB2312" w:cs="仿宋_GB2312" w:eastAsia="仿宋_GB2312"/>
                      <w:sz w:val="20"/>
                    </w:rPr>
                    <w:t>CPOT评分，</w:t>
                  </w:r>
                  <w:r>
                    <w:rPr>
                      <w:rFonts w:ascii="仿宋_GB2312" w:hAnsi="仿宋_GB2312" w:cs="仿宋_GB2312" w:eastAsia="仿宋_GB2312"/>
                      <w:sz w:val="20"/>
                    </w:rPr>
                    <w:t>等常用评分方法以及其他可自定义的评分计算</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评分功能支持按照树形菜单分类显示，界面对应显示各类评分记录、以及评分变化趋势图</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可对评分实现增加、删除、修改功能</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护理文书</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护理文书支持按照树形菜单分类显示，界面对应各类护理文书，支持根据科室文书需求个性化定制</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可对文书实现新增、删除、修改、打印功能</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护理计划</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可对护理计划增加（为方便使用，可调用护理计划模板进行快速记录）、删除、修改功能。</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护嘱执行</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可对护嘱具有开立、执行、停用、恢复、删除功能。</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可对护嘱开立及执行时涉及到的频次为配置模块频次配置关联项。</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健康教育</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支持专科、出院等类型显示宣教记录</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可对宣教记录内容修改、删除、打印等操作</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医护</w:t>
                  </w:r>
                  <w:r>
                    <w:rPr>
                      <w:rFonts w:ascii="仿宋_GB2312" w:hAnsi="仿宋_GB2312" w:cs="仿宋_GB2312" w:eastAsia="仿宋_GB2312"/>
                      <w:sz w:val="20"/>
                    </w:rPr>
                    <w:t>交接班</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可根据日期来显示当前患者对应信息，可以通过日期进行快速切换选择。</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系统需支持流程化交接班功能，符合患者现状、患者背景、患者评估、患者建议的流程化模式等，为方便医护使用，可针对每个阶段插入交班模板。</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交班模板，可以快速插入，也可以保存模板（科室和个人）。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可对交班模板以标签（诊断、过敏史、入量、出量、主诉、病情、各类评分）分类；可插入观察项数据、医嘱、出入量、检验、患者病历、护理、导管、评分相关的信息。</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检验报告</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支持获取检验报告，按医嘱项目分类显示具体指标明细</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支持显示</w:t>
                  </w:r>
                  <w:r>
                    <w:rPr>
                      <w:rFonts w:ascii="仿宋_GB2312" w:hAnsi="仿宋_GB2312" w:cs="仿宋_GB2312" w:eastAsia="仿宋_GB2312"/>
                      <w:sz w:val="20"/>
                    </w:rPr>
                    <w:t>所有</w:t>
                  </w:r>
                  <w:r>
                    <w:rPr>
                      <w:rFonts w:ascii="仿宋_GB2312" w:hAnsi="仿宋_GB2312" w:cs="仿宋_GB2312" w:eastAsia="仿宋_GB2312"/>
                      <w:sz w:val="20"/>
                    </w:rPr>
                    <w:t>的检验结果，并可选中指标显示趋势图；并可对重点关注指标标记</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危急值管理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危急值模块，当患者发生危急值时，系统能够及时预警，通知医生、护士，并可在预警弹框内进入危急值处理界面，可及时快速的处理危急值，减少危急值处理不及时以及漏处理的情况。处理完成的危急值，生成危急值记录展示在重症监护单的特殊记录内。</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检查报告</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支持获取检查结果，列表显示检查项目的描述（所见），结论（所得）；可查看影像</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病理报告</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可获取病理结果，列表显示病理项目标本类型标本送检目的地；标本固定、离体时间</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血气分析</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可自动同步血气报告，按数据分类显示具体指标明细</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显示</w:t>
                  </w:r>
                  <w:r>
                    <w:rPr>
                      <w:rFonts w:ascii="仿宋_GB2312" w:hAnsi="仿宋_GB2312" w:cs="仿宋_GB2312" w:eastAsia="仿宋_GB2312"/>
                      <w:sz w:val="20"/>
                    </w:rPr>
                    <w:t>所有</w:t>
                  </w:r>
                  <w:r>
                    <w:rPr>
                      <w:rFonts w:ascii="仿宋_GB2312" w:hAnsi="仿宋_GB2312" w:cs="仿宋_GB2312" w:eastAsia="仿宋_GB2312"/>
                      <w:sz w:val="20"/>
                    </w:rPr>
                    <w:t>的血气结果，并可选中指标显示趋势图；并可对重点关注指标标记</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病历调阅</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可提取病历首页，展示首页具体模块及内容</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护理质控</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系统可实现护理质控功能。</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护理质控指标</w:t>
                  </w:r>
                  <w:r>
                    <w:rPr>
                      <w:rFonts w:ascii="仿宋_GB2312" w:hAnsi="仿宋_GB2312" w:cs="仿宋_GB2312" w:eastAsia="仿宋_GB2312"/>
                      <w:sz w:val="20"/>
                    </w:rPr>
                    <w:t>包括但不限于</w:t>
                  </w:r>
                  <w:r>
                    <w:rPr>
                      <w:rFonts w:ascii="仿宋_GB2312" w:hAnsi="仿宋_GB2312" w:cs="仿宋_GB2312" w:eastAsia="仿宋_GB2312"/>
                      <w:sz w:val="20"/>
                    </w:rPr>
                    <w:t>：重症医学科床护比；白班平均护患比；夜班平均护患比；每住院患者</w:t>
                  </w:r>
                  <w:r>
                    <w:rPr>
                      <w:rFonts w:ascii="仿宋_GB2312" w:hAnsi="仿宋_GB2312" w:cs="仿宋_GB2312" w:eastAsia="仿宋_GB2312"/>
                      <w:sz w:val="20"/>
                    </w:rPr>
                    <w:t>24 小时平均护理时数；病区5 年以下护士占比；病区 20 年及以上护士占比；并支持图表显示，可打印、导出</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患者监控</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支持展示所有床位患者的生命体征趋势图</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支持单个患者生命体征趋势图模块全屏显示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患者状态</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支持就近一个班次的患者信息、循环系统、呼吸系统、液体平衡、导管情况、神志、精神状态、皮肤情况、内分泌</w:t>
                  </w:r>
                  <w:r>
                    <w:rPr>
                      <w:rFonts w:ascii="仿宋_GB2312" w:hAnsi="仿宋_GB2312" w:cs="仿宋_GB2312" w:eastAsia="仿宋_GB2312"/>
                      <w:sz w:val="20"/>
                    </w:rPr>
                    <w:t>/血糖；感染相关信息；酸碱平衡数据；皮肤护理信息；</w:t>
                  </w:r>
                  <w:r>
                    <w:rPr>
                      <w:rFonts w:ascii="仿宋_GB2312" w:hAnsi="仿宋_GB2312" w:cs="仿宋_GB2312" w:eastAsia="仿宋_GB2312"/>
                      <w:sz w:val="20"/>
                    </w:rPr>
                    <w:t>凝血功能</w:t>
                  </w:r>
                  <w:r>
                    <w:rPr>
                      <w:rFonts w:ascii="仿宋_GB2312" w:hAnsi="仿宋_GB2312" w:cs="仿宋_GB2312" w:eastAsia="仿宋_GB2312"/>
                      <w:sz w:val="20"/>
                    </w:rPr>
                    <w:t>等。</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专题视图</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系统可根据时间范围筛查显示；支持按天或周或者自定义时段来进行以时间轴对应患者体征和各项指标数据、评估数据。</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基于感染、液体平衡、营养、血压、肝肾功能、呼吸循环系统、感染控制数据、肝肾功能系统数据等专题视图，将病人体征、</w:t>
                  </w:r>
                  <w:r>
                    <w:rPr>
                      <w:rFonts w:ascii="仿宋_GB2312" w:hAnsi="仿宋_GB2312" w:cs="仿宋_GB2312" w:eastAsia="仿宋_GB2312"/>
                      <w:sz w:val="20"/>
                    </w:rPr>
                    <w:t>LIS检验指标的变化趋势，与用药的历史记录进行图形化的集中展示，体现同一时间段三者之间的联动关系。</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医生查房</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支持展示历次查房记录包含患者信息、循环系统、呼吸系统、液体平衡、导管情况、神</w:t>
                  </w:r>
                  <w:r>
                    <w:rPr>
                      <w:rFonts w:ascii="仿宋_GB2312" w:hAnsi="仿宋_GB2312" w:cs="仿宋_GB2312" w:eastAsia="仿宋_GB2312"/>
                      <w:sz w:val="20"/>
                    </w:rPr>
                    <w:t>志、</w:t>
                  </w:r>
                  <w:r>
                    <w:rPr>
                      <w:rFonts w:ascii="仿宋_GB2312" w:hAnsi="仿宋_GB2312" w:cs="仿宋_GB2312" w:eastAsia="仿宋_GB2312"/>
                      <w:sz w:val="20"/>
                    </w:rPr>
                    <w:t>精神状态、皮肤情况、内分泌</w:t>
                  </w:r>
                  <w:r>
                    <w:rPr>
                      <w:rFonts w:ascii="仿宋_GB2312" w:hAnsi="仿宋_GB2312" w:cs="仿宋_GB2312" w:eastAsia="仿宋_GB2312"/>
                      <w:sz w:val="20"/>
                    </w:rPr>
                    <w:t>/血糖；感染相关信息；酸碱平衡数据</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医生评分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可根据日期来显示当前患者对应信息，日期可快速切换选择</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可根据班次、全天快速切换显示；系统含评分包括</w:t>
                  </w:r>
                  <w:r>
                    <w:rPr>
                      <w:rFonts w:ascii="仿宋_GB2312" w:hAnsi="仿宋_GB2312" w:cs="仿宋_GB2312" w:eastAsia="仿宋_GB2312"/>
                      <w:sz w:val="20"/>
                    </w:rPr>
                    <w:t>APACHEII、SOFA、MODS Marshall多器官功能不全综合症、GLASGOW昏迷评分、Murray 急性肺损伤、创伤评分、镇痛镇静评分、Pauda评分、Caprini评分、Wells评分、PESI评分、NRS-2002评分、GAP评分、mmRC评分、SPESI评分、CPIS评分、Ranson评分、IPFI评分等常用评分方法以及其他可自定义的评分计算</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评分功能支持按照树形菜单分类显示，界面对应显示各类评分记录、以及评分变化趋势图</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可对评分实现增加、删除、修改功能</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治疗目标管理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系统提供常见临床各器官系统和重点指标的监测模型，包括循环系统、呼吸系统、神经系统、泌尿系统、感染、血糖、血气分析，监测内容支持图形和数据表格的形式查看，支持在同一个时间轴上同步比较。</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系统支持按周或按天查看患者病情对比数据，支持勾选一个或多个参数，可调整显示时间频率。</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医护人员能够对关注的化验指标进行管理，支持显示关注指标的最新值和变化趋势，趋势图支持导出。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医护人员可以查看患者最近的血气分析报告，包括血糖、乳酸、</w:t>
                  </w:r>
                  <w:r>
                    <w:rPr>
                      <w:rFonts w:ascii="仿宋_GB2312" w:hAnsi="仿宋_GB2312" w:cs="仿宋_GB2312" w:eastAsia="仿宋_GB2312"/>
                      <w:sz w:val="20"/>
                    </w:rPr>
                    <w:t>PH值、碱剩余，支持对单个指标进行回顾。</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系统支持对患者异常值或危急值进行标注。</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患者对比</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系统支持分类筛选患者，并可对有相似特点患者病情对比。</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综合查询</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实现与</w:t>
                  </w:r>
                  <w:r>
                    <w:rPr>
                      <w:rFonts w:ascii="仿宋_GB2312" w:hAnsi="仿宋_GB2312" w:cs="仿宋_GB2312" w:eastAsia="仿宋_GB2312"/>
                      <w:sz w:val="20"/>
                    </w:rPr>
                    <w:t>HIS对接，</w:t>
                  </w:r>
                  <w:r>
                    <w:rPr>
                      <w:rFonts w:ascii="仿宋_GB2312" w:hAnsi="仿宋_GB2312" w:cs="仿宋_GB2312" w:eastAsia="仿宋_GB2312"/>
                      <w:sz w:val="20"/>
                    </w:rPr>
                    <w:t>图表统计呈现各类患者历史数据；（被约束、死亡、转科、出院、隔离等）</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详细列表呈现患者历史数据，提供查阅历史患者数据详情；并支持图表显示，可打印、导出</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工作量统计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统计护理日常工作量内容并支持图表显示，可打印、导出</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支持根据交接班自动汇总科室人员工作时长，可打印、导出。</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支持按科室绩效计算规则，汇总生成科室人员绩效分值，可打印、导出。</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患者压疮统计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支持统计日期范围内容出现压疮患者例数，及追溯到具体患者；并支持图表显示，可打印、导出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床位使用情况统计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支持统计日期范围科室床位周转率、使用率、开放床位数等；并支持图表显示，可打印、导出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耗材统计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支持统计日期范围内的耗材领用情况、可为下次采购做计划；并支持图表显示，可打印、导出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支持统计日期范围内所有设备的使用时长、产生的绩效等；并支持图表显示，可打印、导出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抢救统计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支持统计日期范围内抢救患者情况，包含不限于抢救原因、抢救结果、抢救时长，抢救人员等；并支持图表显示，可打印、导出</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患者管路综合统计</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支持统计日期范围内各类型导管插管数量，及插管天数</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支持统计科室导管非计划拔管率、导管滑脱率、误拔率、气管插管感染发生率、导尿管感染发生率、深静脉导管感染发生率等。</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有创无创气管插管、尿管、其他静脉置管、其他置管、引流管；并支持图表显示，可打印、导出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评分分布情况</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支持统计日期范围内各类型评分的结果分布情况，并支持图表显示，可打印、导出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患者去向</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支持统计日期范围内患者出科去向分布含（死亡、出科、出院等），并支持图表显示，可打印、导出</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重症专科质控</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20</w:t>
                  </w:r>
                  <w:r>
                    <w:rPr>
                      <w:rFonts w:ascii="仿宋_GB2312" w:hAnsi="仿宋_GB2312" w:cs="仿宋_GB2312" w:eastAsia="仿宋_GB2312"/>
                      <w:sz w:val="20"/>
                    </w:rPr>
                    <w:t>25</w:t>
                  </w:r>
                  <w:r>
                    <w:rPr>
                      <w:rFonts w:ascii="仿宋_GB2312" w:hAnsi="仿宋_GB2312" w:cs="仿宋_GB2312" w:eastAsia="仿宋_GB2312"/>
                      <w:sz w:val="20"/>
                    </w:rPr>
                    <w:t>年度公布的</w:t>
                  </w:r>
                  <w:r>
                    <w:rPr>
                      <w:rFonts w:ascii="仿宋_GB2312" w:hAnsi="仿宋_GB2312" w:cs="仿宋_GB2312" w:eastAsia="仿宋_GB2312"/>
                      <w:sz w:val="20"/>
                    </w:rPr>
                    <w:t>ICU国家质量上报的质控管理指标的自动统计功能：</w:t>
                  </w:r>
                  <w:r>
                    <w:rPr>
                      <w:rFonts w:ascii="仿宋_GB2312" w:hAnsi="仿宋_GB2312" w:cs="仿宋_GB2312" w:eastAsia="仿宋_GB2312"/>
                      <w:sz w:val="20"/>
                    </w:rPr>
                    <w:t>ICU床位使用率和ICU医师床位比；ICU护士床位比；</w:t>
                  </w:r>
                </w:p>
                <w:p>
                  <w:pPr>
                    <w:pStyle w:val="null3"/>
                    <w:jc w:val="both"/>
                  </w:pPr>
                  <w:r>
                    <w:rPr>
                      <w:rFonts w:ascii="仿宋_GB2312" w:hAnsi="仿宋_GB2312" w:cs="仿宋_GB2312" w:eastAsia="仿宋_GB2312"/>
                      <w:sz w:val="20"/>
                    </w:rPr>
                    <w:t>急性生理与慢性健康评分（</w:t>
                  </w:r>
                  <w:r>
                    <w:rPr>
                      <w:rFonts w:ascii="仿宋_GB2312" w:hAnsi="仿宋_GB2312" w:cs="仿宋_GB2312" w:eastAsia="仿宋_GB2312"/>
                      <w:sz w:val="20"/>
                    </w:rPr>
                    <w:t>APACHEⅡ）≥15分的患者收治率（入ICU24小时内）；感染性休克3h集束化治疗（bundle）完成率；</w:t>
                  </w:r>
                </w:p>
                <w:p>
                  <w:pPr>
                    <w:pStyle w:val="null3"/>
                    <w:jc w:val="both"/>
                  </w:pPr>
                  <w:r>
                    <w:rPr>
                      <w:rFonts w:ascii="仿宋_GB2312" w:hAnsi="仿宋_GB2312" w:cs="仿宋_GB2312" w:eastAsia="仿宋_GB2312"/>
                      <w:sz w:val="20"/>
                    </w:rPr>
                    <w:t>感染性休克</w:t>
                  </w:r>
                  <w:r>
                    <w:rPr>
                      <w:rFonts w:ascii="仿宋_GB2312" w:hAnsi="仿宋_GB2312" w:cs="仿宋_GB2312" w:eastAsia="仿宋_GB2312"/>
                      <w:sz w:val="20"/>
                    </w:rPr>
                    <w:t>6h集束化治疗（bundle）完成率；ICU抗菌治药物疗前病原学送检率；ICU深静脉血栓（DVT）预防率；中重度急性呼吸窘迫综合症（ARDS）患者俯卧位通气实施率；ICU镇痛评估率；</w:t>
                  </w:r>
                </w:p>
                <w:p>
                  <w:pPr>
                    <w:pStyle w:val="null3"/>
                    <w:jc w:val="both"/>
                  </w:pPr>
                  <w:r>
                    <w:rPr>
                      <w:rFonts w:ascii="仿宋_GB2312" w:hAnsi="仿宋_GB2312" w:cs="仿宋_GB2312" w:eastAsia="仿宋_GB2312"/>
                      <w:sz w:val="20"/>
                    </w:rPr>
                    <w:t>ICU镇静评估率；ICU患者标化病死指数（Standardized Mortality Ratio）；ICU非计划气管插管拔管率；ICU气管插管拔管后48h内再插管率；非计划转入ICU率；转出ICU后48h内重返率；</w:t>
                  </w:r>
                </w:p>
                <w:p>
                  <w:pPr>
                    <w:pStyle w:val="null3"/>
                    <w:jc w:val="both"/>
                  </w:pPr>
                  <w:r>
                    <w:rPr>
                      <w:rFonts w:ascii="仿宋_GB2312" w:hAnsi="仿宋_GB2312" w:cs="仿宋_GB2312" w:eastAsia="仿宋_GB2312"/>
                      <w:sz w:val="20"/>
                    </w:rPr>
                    <w:t>ICU呼吸机相关性肺炎（VAP）发病率；ICU血管内导管相关血流感染（CRBSI）发病率；ICU导尿管相关泌尿系感染（CAUTI）发病率；ICU急性脑损伤患者意识评估率；48小时内肠内营养（EN）启动率。</w:t>
                  </w:r>
                </w:p>
                <w:p>
                  <w:pPr>
                    <w:pStyle w:val="null3"/>
                    <w:jc w:val="both"/>
                  </w:pPr>
                  <w:r>
                    <w:rPr>
                      <w:rFonts w:ascii="仿宋_GB2312" w:hAnsi="仿宋_GB2312" w:cs="仿宋_GB2312" w:eastAsia="仿宋_GB2312"/>
                      <w:sz w:val="20"/>
                    </w:rPr>
                    <w:t>支持质控指标追溯到具体患者，可验证相关指标的准确性，并支持图表显示，可打印、导出</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科研综合查询</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含</w:t>
                  </w:r>
                  <w:r>
                    <w:rPr>
                      <w:rFonts w:ascii="仿宋_GB2312" w:hAnsi="仿宋_GB2312" w:cs="仿宋_GB2312" w:eastAsia="仿宋_GB2312"/>
                      <w:sz w:val="20"/>
                    </w:rPr>
                    <w:t>数据搜索引擎，支持自定义查询条件（患者人口学信息、诊断、生命体征、化验指标、影像报告、临床评分、医嘱用药在多个指标进行综合交叉检索，精确定位科研课题相关的病例样本等）</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可将配置好的查询条件保存为快捷方式，下次通过点选方式实现快速检索</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具有权限的用户，可根据需要设定科研数据导出模板，将查询结果以</w:t>
                  </w:r>
                  <w:r>
                    <w:rPr>
                      <w:rFonts w:ascii="仿宋_GB2312" w:hAnsi="仿宋_GB2312" w:cs="仿宋_GB2312" w:eastAsia="仿宋_GB2312"/>
                      <w:sz w:val="20"/>
                    </w:rPr>
                    <w:t>Excel格式导出</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导出结果可包含患者年龄、性别、诊断、生命体征、化验指标、影像报告、临床评分、医嘱用药数等多个指标数据。</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三级综合医院指标</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系统提供三级综合医院等级评审重症相关质控指标统计：</w:t>
                  </w:r>
                </w:p>
                <w:p>
                  <w:pPr>
                    <w:pStyle w:val="null3"/>
                    <w:jc w:val="both"/>
                  </w:pPr>
                  <w:r>
                    <w:rPr>
                      <w:rFonts w:ascii="仿宋_GB2312" w:hAnsi="仿宋_GB2312" w:cs="仿宋_GB2312" w:eastAsia="仿宋_GB2312"/>
                      <w:sz w:val="20"/>
                    </w:rPr>
                    <w:t>非预期的</w:t>
                  </w:r>
                  <w:r>
                    <w:rPr>
                      <w:rFonts w:ascii="仿宋_GB2312" w:hAnsi="仿宋_GB2312" w:cs="仿宋_GB2312" w:eastAsia="仿宋_GB2312"/>
                      <w:sz w:val="20"/>
                    </w:rPr>
                    <w:t>24/48 小时重返重症医学科率（%）；</w:t>
                  </w:r>
                </w:p>
                <w:p>
                  <w:pPr>
                    <w:pStyle w:val="null3"/>
                    <w:jc w:val="both"/>
                  </w:pPr>
                  <w:r>
                    <w:rPr>
                      <w:rFonts w:ascii="仿宋_GB2312" w:hAnsi="仿宋_GB2312" w:cs="仿宋_GB2312" w:eastAsia="仿宋_GB2312"/>
                      <w:sz w:val="20"/>
                    </w:rPr>
                    <w:t>呼吸机相关肺炎（ＶＡＰ）的预防率（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呼吸机相关肺炎（ＶＡＰ）发病率（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中心静脉置管相关血流感染发生率（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留置导尿管相关泌尿系感染发病率（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重症患者死亡率（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重症患者压疮发生率（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人工气道脱出例数。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1）系统支持三级综合医院评审指标概览视图，用实时数据、图表的形式，清晰明了的呈现科室重要指标的当前情况；系统支持单个指标统计汇总信息查看。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2）系统对具有权限的用户提供数据报表、统计图表导出功能。</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智能排班</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支持护士值班安排功能，根据科室实际情况，可以按周排班。</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支持医生值班安排功能，根据科室实际情况，可以按周排班。</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支持值班类型维护，可根据医院需求自定义值班类型。</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设备管理</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支持查看科室医疗设备情况，以图表方式显示设备的使用情况</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支持一键查看全部或在用设备</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对设备信息进行登记，包括厂商、型号、采购日期</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系统能够记录设备的使用情况，如使用状态、使用时长，收入等</w:t>
                  </w:r>
                  <w:r>
                    <w:rPr>
                      <w:rFonts w:ascii="仿宋_GB2312" w:hAnsi="仿宋_GB2312" w:cs="仿宋_GB2312" w:eastAsia="仿宋_GB2312"/>
                      <w:sz w:val="20"/>
                    </w:rPr>
                    <w:t>。</w:t>
                  </w:r>
                </w:p>
              </w:tc>
            </w:tr>
            <w:tr>
              <w:tc>
                <w:tcPr>
                  <w:tcW w:type="dxa" w:w="41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耗材库存管理</w:t>
                  </w:r>
                </w:p>
                <w:p>
                  <w:pPr>
                    <w:pStyle w:val="null3"/>
                    <w:jc w:val="center"/>
                  </w:p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耗材进销存管理</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实时库存显示，动态图表显示</w:t>
                  </w:r>
                  <w:r>
                    <w:rPr>
                      <w:rFonts w:ascii="仿宋_GB2312" w:hAnsi="仿宋_GB2312" w:cs="仿宋_GB2312" w:eastAsia="仿宋_GB2312"/>
                      <w:sz w:val="20"/>
                    </w:rPr>
                    <w:t>。</w:t>
                  </w:r>
                </w:p>
              </w:tc>
            </w:tr>
            <w:tr>
              <w:tc>
                <w:tcPr>
                  <w:tcW w:type="dxa" w:w="412"/>
                  <w:vMerge/>
                  <w:tcBorders>
                    <w:top w:val="none" w:color="000000" w:sz="4"/>
                    <w:left w:val="single" w:color="000000" w:sz="4"/>
                    <w:bottom w:val="single" w:color="000000" w:sz="4"/>
                    <w:right w:val="single" w:color="000000" w:sz="4"/>
                  </w:tcBorders>
                </w:tcP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提供自定义组合查询条件查询患者耗材使用情况</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知识库</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系统支持知识库日常维护（上传</w:t>
                  </w:r>
                  <w:r>
                    <w:rPr>
                      <w:rFonts w:ascii="仿宋_GB2312" w:hAnsi="仿宋_GB2312" w:cs="仿宋_GB2312" w:eastAsia="仿宋_GB2312"/>
                      <w:sz w:val="20"/>
                    </w:rPr>
                    <w:t>PDF、Word等格式；手动录入各个相关规范），可树形展示各个知识库内容</w:t>
                  </w:r>
                  <w:r>
                    <w:rPr>
                      <w:rFonts w:ascii="仿宋_GB2312" w:hAnsi="仿宋_GB2312" w:cs="仿宋_GB2312" w:eastAsia="仿宋_GB2312"/>
                      <w:sz w:val="20"/>
                    </w:rPr>
                    <w:t>。</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字典配置</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支持对角色管理、科室管理、用户管理、菜单管理、授权管理、床位管理、药品单位、药品管理、用法管理、频次管理、导管管理、监测项目、设备管理、耗材管理</w:t>
                  </w:r>
                  <w:r>
                    <w:rPr>
                      <w:rFonts w:ascii="仿宋_GB2312" w:hAnsi="仿宋_GB2312" w:cs="仿宋_GB2312" w:eastAsia="仿宋_GB2312"/>
                      <w:sz w:val="20"/>
                    </w:rPr>
                    <w:t>等类型的</w:t>
                  </w:r>
                  <w:r>
                    <w:rPr>
                      <w:rFonts w:ascii="仿宋_GB2312" w:hAnsi="仿宋_GB2312" w:cs="仿宋_GB2312" w:eastAsia="仿宋_GB2312"/>
                      <w:sz w:val="20"/>
                    </w:rPr>
                    <w:t>新增、删除、修改</w:t>
                  </w:r>
                  <w:r>
                    <w:rPr>
                      <w:rFonts w:ascii="仿宋_GB2312" w:hAnsi="仿宋_GB2312" w:cs="仿宋_GB2312" w:eastAsia="仿宋_GB2312"/>
                      <w:sz w:val="20"/>
                    </w:rPr>
                    <w:t>等</w:t>
                  </w:r>
                  <w:r>
                    <w:rPr>
                      <w:rFonts w:ascii="仿宋_GB2312" w:hAnsi="仿宋_GB2312" w:cs="仿宋_GB2312" w:eastAsia="仿宋_GB2312"/>
                      <w:sz w:val="20"/>
                    </w:rPr>
                    <w:t>功能。</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护理模版</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支持对护理模版、评分规则库、评估项目、班次管理</w:t>
                  </w:r>
                  <w:r>
                    <w:rPr>
                      <w:rFonts w:ascii="仿宋_GB2312" w:hAnsi="仿宋_GB2312" w:cs="仿宋_GB2312" w:eastAsia="仿宋_GB2312"/>
                      <w:sz w:val="20"/>
                    </w:rPr>
                    <w:t>等</w:t>
                  </w:r>
                  <w:r>
                    <w:rPr>
                      <w:rFonts w:ascii="仿宋_GB2312" w:hAnsi="仿宋_GB2312" w:cs="仿宋_GB2312" w:eastAsia="仿宋_GB2312"/>
                      <w:sz w:val="20"/>
                    </w:rPr>
                    <w:t>查询、新增、删除、修改</w:t>
                  </w:r>
                  <w:r>
                    <w:rPr>
                      <w:rFonts w:ascii="仿宋_GB2312" w:hAnsi="仿宋_GB2312" w:cs="仿宋_GB2312" w:eastAsia="仿宋_GB2312"/>
                      <w:sz w:val="20"/>
                    </w:rPr>
                    <w:t>等</w:t>
                  </w:r>
                  <w:r>
                    <w:rPr>
                      <w:rFonts w:ascii="仿宋_GB2312" w:hAnsi="仿宋_GB2312" w:cs="仿宋_GB2312" w:eastAsia="仿宋_GB2312"/>
                      <w:sz w:val="20"/>
                    </w:rPr>
                    <w:t>功能。</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公告发布</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支持对门户页公告配置，公告类型、内容、地址添加、修改功能。功能模块配置。</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操作日志</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可对系统所有正常、异常操作过程记录，便于后期维护排</w:t>
                  </w:r>
                  <w:r>
                    <w:rPr>
                      <w:rFonts w:ascii="仿宋_GB2312" w:hAnsi="仿宋_GB2312" w:cs="仿宋_GB2312" w:eastAsia="仿宋_GB2312"/>
                      <w:sz w:val="20"/>
                    </w:rPr>
                    <w:t>除</w:t>
                  </w:r>
                  <w:r>
                    <w:rPr>
                      <w:rFonts w:ascii="仿宋_GB2312" w:hAnsi="仿宋_GB2312" w:cs="仿宋_GB2312" w:eastAsia="仿宋_GB2312"/>
                      <w:sz w:val="20"/>
                    </w:rPr>
                    <w:t>系统</w:t>
                  </w:r>
                  <w:r>
                    <w:rPr>
                      <w:rFonts w:ascii="仿宋_GB2312" w:hAnsi="仿宋_GB2312" w:cs="仿宋_GB2312" w:eastAsia="仿宋_GB2312"/>
                      <w:sz w:val="20"/>
                    </w:rPr>
                    <w:t>bug。</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系统架构</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系统为</w:t>
                  </w:r>
                  <w:r>
                    <w:rPr>
                      <w:rFonts w:ascii="仿宋_GB2312" w:hAnsi="仿宋_GB2312" w:cs="仿宋_GB2312" w:eastAsia="仿宋_GB2312"/>
                      <w:sz w:val="20"/>
                    </w:rPr>
                    <w:t>B/S架构，基于浏览器的WEB临床应用系统。</w:t>
                  </w:r>
                </w:p>
              </w:tc>
            </w:tr>
            <w:tr>
              <w:tc>
                <w:tcPr>
                  <w:tcW w:type="dxa" w:w="4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指标要求</w:t>
                  </w:r>
                </w:p>
              </w:tc>
              <w:tc>
                <w:tcPr>
                  <w:tcW w:type="dxa" w:w="190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符合智慧医疗评级五级、互联互通四甲、智慧服务三级等评级指标，及满足科室需要。</w:t>
                  </w:r>
                </w:p>
              </w:tc>
            </w:tr>
          </w:tbl>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项目实施及售后要求</w:t>
            </w:r>
          </w:p>
          <w:p>
            <w:pPr>
              <w:pStyle w:val="null3"/>
            </w:pPr>
            <w:r>
              <w:rPr>
                <w:rFonts w:ascii="仿宋_GB2312" w:hAnsi="仿宋_GB2312" w:cs="仿宋_GB2312" w:eastAsia="仿宋_GB2312"/>
                <w:sz w:val="22"/>
                <w:b/>
              </w:rPr>
              <w:t>2.1</w:t>
            </w:r>
            <w:r>
              <w:rPr>
                <w:rFonts w:ascii="仿宋_GB2312" w:hAnsi="仿宋_GB2312" w:cs="仿宋_GB2312" w:eastAsia="仿宋_GB2312"/>
                <w:sz w:val="21"/>
                <w:b/>
              </w:rPr>
              <w:t>总体要求</w:t>
            </w:r>
          </w:p>
          <w:p>
            <w:pPr>
              <w:pStyle w:val="null3"/>
              <w:ind w:firstLine="420"/>
              <w:jc w:val="both"/>
            </w:pPr>
            <w:r>
              <w:rPr>
                <w:rFonts w:ascii="仿宋_GB2312" w:hAnsi="仿宋_GB2312" w:cs="仿宋_GB2312" w:eastAsia="仿宋_GB2312"/>
                <w:sz w:val="21"/>
              </w:rPr>
              <w:t>系统提供商应本着认真负责态度，组织技术队伍，认真做好项目的实施工作。在</w:t>
            </w:r>
            <w:r>
              <w:rPr>
                <w:rFonts w:ascii="仿宋_GB2312" w:hAnsi="仿宋_GB2312" w:cs="仿宋_GB2312" w:eastAsia="仿宋_GB2312"/>
                <w:sz w:val="21"/>
              </w:rPr>
              <w:t>发布中标通知书后</w:t>
            </w:r>
            <w:r>
              <w:rPr>
                <w:rFonts w:ascii="仿宋_GB2312" w:hAnsi="仿宋_GB2312" w:cs="仿宋_GB2312" w:eastAsia="仿宋_GB2312"/>
                <w:sz w:val="21"/>
              </w:rPr>
              <w:t>签订合同</w:t>
            </w:r>
            <w:r>
              <w:rPr>
                <w:rFonts w:ascii="仿宋_GB2312" w:hAnsi="仿宋_GB2312" w:cs="仿宋_GB2312" w:eastAsia="仿宋_GB2312"/>
                <w:sz w:val="21"/>
              </w:rPr>
              <w:t>前</w:t>
            </w:r>
            <w:r>
              <w:rPr>
                <w:rFonts w:ascii="仿宋_GB2312" w:hAnsi="仿宋_GB2312" w:cs="仿宋_GB2312" w:eastAsia="仿宋_GB2312"/>
                <w:sz w:val="21"/>
              </w:rPr>
              <w:t>，提出具体实施、服务、维护以及今后技术支持的措施计划。</w:t>
            </w:r>
          </w:p>
          <w:p>
            <w:pPr>
              <w:pStyle w:val="null3"/>
            </w:pPr>
            <w:r>
              <w:rPr>
                <w:rFonts w:ascii="仿宋_GB2312" w:hAnsi="仿宋_GB2312" w:cs="仿宋_GB2312" w:eastAsia="仿宋_GB2312"/>
                <w:sz w:val="21"/>
                <w:b/>
              </w:rPr>
              <w:t>2.2项目实施要求</w:t>
            </w:r>
          </w:p>
          <w:p>
            <w:pPr>
              <w:pStyle w:val="null3"/>
              <w:spacing w:before="150" w:after="150"/>
              <w:ind w:firstLine="367"/>
              <w:jc w:val="both"/>
            </w:pPr>
            <w:r>
              <w:rPr>
                <w:rFonts w:ascii="仿宋_GB2312" w:hAnsi="仿宋_GB2312" w:cs="仿宋_GB2312" w:eastAsia="仿宋_GB2312"/>
                <w:sz w:val="21"/>
              </w:rPr>
              <w:t>在</w:t>
            </w:r>
            <w:r>
              <w:rPr>
                <w:rFonts w:ascii="仿宋_GB2312" w:hAnsi="仿宋_GB2312" w:cs="仿宋_GB2312" w:eastAsia="仿宋_GB2312"/>
                <w:sz w:val="21"/>
              </w:rPr>
              <w:t>系统实施过程中，应遵循国家标准、行业标准，须做到：</w:t>
            </w:r>
          </w:p>
          <w:p>
            <w:pPr>
              <w:pStyle w:val="null3"/>
              <w:ind w:firstLine="420"/>
              <w:jc w:val="both"/>
            </w:pPr>
            <w:r>
              <w:rPr>
                <w:rFonts w:ascii="仿宋_GB2312" w:hAnsi="仿宋_GB2312" w:cs="仿宋_GB2312" w:eastAsia="仿宋_GB2312"/>
                <w:sz w:val="21"/>
              </w:rPr>
              <w:t>1.提供完整的系统实施方案和软件实施管理办法，含本地化修改、测试、试运行、培训及上线计划等。</w:t>
            </w:r>
          </w:p>
          <w:p>
            <w:pPr>
              <w:pStyle w:val="null3"/>
              <w:ind w:firstLine="420"/>
              <w:jc w:val="both"/>
            </w:pPr>
            <w:r>
              <w:rPr>
                <w:rFonts w:ascii="仿宋_GB2312" w:hAnsi="仿宋_GB2312" w:cs="仿宋_GB2312" w:eastAsia="仿宋_GB2312"/>
                <w:sz w:val="21"/>
              </w:rPr>
              <w:t>2.针对招标方项目组建专门的项目团队，提供项目组人员组成、项目负责人资质及简历、项目主要技术人员资质及相关分工，项目组人员未经招标方同意，不得随意更换。</w:t>
            </w:r>
          </w:p>
          <w:p>
            <w:pPr>
              <w:pStyle w:val="null3"/>
              <w:ind w:firstLine="420"/>
              <w:jc w:val="both"/>
            </w:pPr>
            <w:r>
              <w:rPr>
                <w:rFonts w:ascii="仿宋_GB2312" w:hAnsi="仿宋_GB2312" w:cs="仿宋_GB2312" w:eastAsia="仿宋_GB2312"/>
                <w:sz w:val="21"/>
              </w:rPr>
              <w:t>3.在项目工期规定时间内按要求完成系统的</w:t>
            </w:r>
            <w:r>
              <w:rPr>
                <w:rFonts w:ascii="仿宋_GB2312" w:hAnsi="仿宋_GB2312" w:cs="仿宋_GB2312" w:eastAsia="仿宋_GB2312"/>
                <w:sz w:val="21"/>
              </w:rPr>
              <w:t>集成</w:t>
            </w:r>
            <w:r>
              <w:rPr>
                <w:rFonts w:ascii="仿宋_GB2312" w:hAnsi="仿宋_GB2312" w:cs="仿宋_GB2312" w:eastAsia="仿宋_GB2312"/>
                <w:sz w:val="21"/>
              </w:rPr>
              <w:t>、</w:t>
            </w:r>
            <w:r>
              <w:rPr>
                <w:rFonts w:ascii="仿宋_GB2312" w:hAnsi="仿宋_GB2312" w:cs="仿宋_GB2312" w:eastAsia="仿宋_GB2312"/>
                <w:sz w:val="21"/>
              </w:rPr>
              <w:t>开</w:t>
            </w:r>
            <w:r>
              <w:rPr>
                <w:rFonts w:ascii="仿宋_GB2312" w:hAnsi="仿宋_GB2312" w:cs="仿宋_GB2312" w:eastAsia="仿宋_GB2312"/>
                <w:sz w:val="21"/>
              </w:rPr>
              <w:t>发、安装实施、测试、调试、验收等工作。</w:t>
            </w:r>
          </w:p>
          <w:p>
            <w:pPr>
              <w:pStyle w:val="null3"/>
              <w:spacing w:before="150" w:after="150"/>
              <w:ind w:left="900"/>
              <w:jc w:val="left"/>
            </w:pPr>
            <w:r>
              <w:rPr>
                <w:rFonts w:ascii="仿宋_GB2312" w:hAnsi="仿宋_GB2312" w:cs="仿宋_GB2312" w:eastAsia="仿宋_GB2312"/>
                <w:sz w:val="21"/>
              </w:rPr>
              <w:t>4.提供充足的技术实施人员以确保项目在工期要求内顺利完成。</w:t>
            </w:r>
          </w:p>
          <w:p>
            <w:pPr>
              <w:pStyle w:val="null3"/>
              <w:spacing w:before="150" w:after="150"/>
              <w:ind w:left="900"/>
              <w:jc w:val="left"/>
            </w:pPr>
            <w:r>
              <w:rPr>
                <w:rFonts w:ascii="仿宋_GB2312" w:hAnsi="仿宋_GB2312" w:cs="仿宋_GB2312" w:eastAsia="仿宋_GB2312"/>
                <w:sz w:val="21"/>
              </w:rPr>
              <w:t>5.项目实施过程中须提供项目周报，及时反映项目进展及问题。</w:t>
            </w:r>
          </w:p>
          <w:p>
            <w:pPr>
              <w:pStyle w:val="null3"/>
              <w:spacing w:before="150" w:after="150"/>
              <w:ind w:left="900"/>
              <w:jc w:val="left"/>
            </w:pPr>
            <w:r>
              <w:rPr>
                <w:rFonts w:ascii="仿宋_GB2312" w:hAnsi="仿宋_GB2312" w:cs="仿宋_GB2312" w:eastAsia="仿宋_GB2312"/>
                <w:sz w:val="21"/>
              </w:rPr>
              <w:t>6.提供货详细的软件实施方案和计划进度说明书。</w:t>
            </w:r>
          </w:p>
          <w:p>
            <w:pPr>
              <w:pStyle w:val="null3"/>
              <w:spacing w:before="150" w:after="150"/>
              <w:ind w:left="900"/>
              <w:jc w:val="left"/>
            </w:pPr>
            <w:r>
              <w:rPr>
                <w:rFonts w:ascii="仿宋_GB2312" w:hAnsi="仿宋_GB2312" w:cs="仿宋_GB2312" w:eastAsia="仿宋_GB2312"/>
                <w:sz w:val="21"/>
              </w:rPr>
              <w:t>7.提供详细、全面的人员培训计划和实施方案。</w:t>
            </w:r>
          </w:p>
          <w:p>
            <w:pPr>
              <w:pStyle w:val="null3"/>
              <w:spacing w:before="150" w:after="150"/>
              <w:ind w:left="900"/>
              <w:jc w:val="left"/>
            </w:pPr>
            <w:r>
              <w:rPr>
                <w:rFonts w:ascii="仿宋_GB2312" w:hAnsi="仿宋_GB2312" w:cs="仿宋_GB2312" w:eastAsia="仿宋_GB2312"/>
                <w:sz w:val="21"/>
              </w:rPr>
              <w:t>8.严格按照双方确定的计划进度保质保量完成工作。</w:t>
            </w:r>
          </w:p>
          <w:p>
            <w:pPr>
              <w:pStyle w:val="null3"/>
              <w:spacing w:before="150" w:after="150"/>
              <w:ind w:left="900"/>
              <w:jc w:val="left"/>
            </w:pPr>
            <w:r>
              <w:rPr>
                <w:rFonts w:ascii="仿宋_GB2312" w:hAnsi="仿宋_GB2312" w:cs="仿宋_GB2312" w:eastAsia="仿宋_GB2312"/>
                <w:sz w:val="21"/>
              </w:rPr>
              <w:t>9.规范软件实施过程中的文档管理。</w:t>
            </w:r>
          </w:p>
          <w:p>
            <w:pPr>
              <w:pStyle w:val="null3"/>
              <w:spacing w:before="150" w:after="150"/>
              <w:ind w:left="900"/>
              <w:jc w:val="left"/>
            </w:pPr>
            <w:r>
              <w:rPr>
                <w:rFonts w:ascii="仿宋_GB2312" w:hAnsi="仿宋_GB2312" w:cs="仿宋_GB2312" w:eastAsia="仿宋_GB2312"/>
                <w:sz w:val="21"/>
              </w:rPr>
              <w:t>★</w:t>
            </w:r>
            <w:r>
              <w:rPr>
                <w:rFonts w:ascii="仿宋_GB2312" w:hAnsi="仿宋_GB2312" w:cs="仿宋_GB2312" w:eastAsia="仿宋_GB2312"/>
                <w:sz w:val="21"/>
              </w:rPr>
              <w:t>10.质量保证期：</w:t>
            </w:r>
            <w:r>
              <w:rPr>
                <w:rFonts w:ascii="仿宋_GB2312" w:hAnsi="仿宋_GB2312" w:cs="仿宋_GB2312" w:eastAsia="仿宋_GB2312"/>
                <w:sz w:val="21"/>
              </w:rPr>
              <w:t>项目质保期</w:t>
            </w:r>
            <w:r>
              <w:rPr>
                <w:rFonts w:ascii="仿宋_GB2312" w:hAnsi="仿宋_GB2312" w:cs="仿宋_GB2312" w:eastAsia="仿宋_GB2312"/>
                <w:sz w:val="21"/>
              </w:rPr>
              <w:t>≥叁</w:t>
            </w:r>
            <w:r>
              <w:rPr>
                <w:rFonts w:ascii="仿宋_GB2312" w:hAnsi="仿宋_GB2312" w:cs="仿宋_GB2312" w:eastAsia="仿宋_GB2312"/>
                <w:sz w:val="21"/>
              </w:rPr>
              <w:t>年，从项目验收之日起算。</w:t>
            </w:r>
          </w:p>
          <w:p>
            <w:pPr>
              <w:pStyle w:val="null3"/>
              <w:spacing w:before="150" w:after="150"/>
              <w:ind w:left="90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.系统要求满足</w:t>
            </w:r>
            <w:r>
              <w:rPr>
                <w:rFonts w:ascii="仿宋_GB2312" w:hAnsi="仿宋_GB2312" w:cs="仿宋_GB2312" w:eastAsia="仿宋_GB2312"/>
                <w:sz w:val="21"/>
              </w:rPr>
              <w:t>智慧医疗评级五级、互联互通四甲、智慧服务三级</w:t>
            </w:r>
            <w:r>
              <w:rPr>
                <w:rFonts w:ascii="仿宋_GB2312" w:hAnsi="仿宋_GB2312" w:cs="仿宋_GB2312" w:eastAsia="仿宋_GB2312"/>
                <w:sz w:val="21"/>
              </w:rPr>
              <w:t>，并</w:t>
            </w:r>
            <w:r>
              <w:rPr>
                <w:rFonts w:ascii="仿宋_GB2312" w:hAnsi="仿宋_GB2312" w:cs="仿宋_GB2312" w:eastAsia="仿宋_GB2312"/>
                <w:sz w:val="21"/>
              </w:rPr>
              <w:t>在采购人开展评级过程中</w:t>
            </w:r>
            <w:r>
              <w:rPr>
                <w:rFonts w:ascii="仿宋_GB2312" w:hAnsi="仿宋_GB2312" w:cs="仿宋_GB2312" w:eastAsia="仿宋_GB2312"/>
                <w:sz w:val="21"/>
                <w:b/>
              </w:rPr>
              <w:t>负责无条件</w:t>
            </w:r>
            <w:r>
              <w:rPr>
                <w:rFonts w:ascii="仿宋_GB2312" w:hAnsi="仿宋_GB2312" w:cs="仿宋_GB2312" w:eastAsia="仿宋_GB2312"/>
                <w:sz w:val="21"/>
              </w:rPr>
              <w:t>配合并</w:t>
            </w:r>
            <w:r>
              <w:rPr>
                <w:rFonts w:ascii="仿宋_GB2312" w:hAnsi="仿宋_GB2312" w:cs="仿宋_GB2312" w:eastAsia="仿宋_GB2312"/>
                <w:sz w:val="21"/>
              </w:rPr>
              <w:t>提供</w:t>
            </w:r>
            <w:r>
              <w:rPr>
                <w:rFonts w:ascii="仿宋_GB2312" w:hAnsi="仿宋_GB2312" w:cs="仿宋_GB2312" w:eastAsia="仿宋_GB2312"/>
                <w:sz w:val="21"/>
              </w:rPr>
              <w:t>相应</w:t>
            </w:r>
            <w:r>
              <w:rPr>
                <w:rFonts w:ascii="仿宋_GB2312" w:hAnsi="仿宋_GB2312" w:cs="仿宋_GB2312" w:eastAsia="仿宋_GB2312"/>
                <w:sz w:val="21"/>
              </w:rPr>
              <w:t>的评级材料。</w:t>
            </w:r>
          </w:p>
          <w:p>
            <w:pPr>
              <w:pStyle w:val="null3"/>
              <w:spacing w:before="150" w:after="150"/>
              <w:ind w:left="900"/>
              <w:jc w:val="left"/>
            </w:pPr>
            <w:r>
              <w:rPr>
                <w:rFonts w:ascii="仿宋_GB2312" w:hAnsi="仿宋_GB2312" w:cs="仿宋_GB2312" w:eastAsia="仿宋_GB2312"/>
                <w:sz w:val="21"/>
              </w:rPr>
              <w:t>12.院方提供虚拟服务器资源，供应商负责安装所需服务端环境包括不限于数据库、中间件、操作系统等。</w:t>
            </w:r>
          </w:p>
          <w:p>
            <w:pPr>
              <w:pStyle w:val="null3"/>
            </w:pPr>
            <w:r>
              <w:rPr>
                <w:rFonts w:ascii="仿宋_GB2312" w:hAnsi="仿宋_GB2312" w:cs="仿宋_GB2312" w:eastAsia="仿宋_GB2312"/>
                <w:sz w:val="21"/>
                <w:b/>
              </w:rPr>
              <w:t>2.3人员要求</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需</w:t>
            </w:r>
            <w:r>
              <w:rPr>
                <w:rFonts w:ascii="仿宋_GB2312" w:hAnsi="仿宋_GB2312" w:cs="仿宋_GB2312" w:eastAsia="仿宋_GB2312"/>
                <w:sz w:val="21"/>
              </w:rPr>
              <w:t>提供项目组</w:t>
            </w:r>
            <w:r>
              <w:rPr>
                <w:rFonts w:ascii="仿宋_GB2312" w:hAnsi="仿宋_GB2312" w:cs="仿宋_GB2312" w:eastAsia="仿宋_GB2312"/>
                <w:sz w:val="21"/>
              </w:rPr>
              <w:t>实施期和试运行期间人员，包括</w:t>
            </w:r>
            <w:r>
              <w:rPr>
                <w:rFonts w:ascii="仿宋_GB2312" w:hAnsi="仿宋_GB2312" w:cs="仿宋_GB2312" w:eastAsia="仿宋_GB2312"/>
                <w:sz w:val="21"/>
              </w:rPr>
              <w:t>成员姓名、学历、相关资质、</w:t>
            </w:r>
            <w:r>
              <w:rPr>
                <w:rFonts w:ascii="仿宋_GB2312" w:hAnsi="仿宋_GB2312" w:cs="仿宋_GB2312" w:eastAsia="仿宋_GB2312"/>
                <w:sz w:val="21"/>
              </w:rPr>
              <w:t>近半年内任意一个月的社保证明、</w:t>
            </w:r>
            <w:r>
              <w:rPr>
                <w:rFonts w:ascii="仿宋_GB2312" w:hAnsi="仿宋_GB2312" w:cs="仿宋_GB2312" w:eastAsia="仿宋_GB2312"/>
                <w:sz w:val="21"/>
              </w:rPr>
              <w:t>在本项目中的职责及以前参与过的项目情况说明等。</w:t>
            </w:r>
          </w:p>
          <w:p>
            <w:pPr>
              <w:pStyle w:val="null3"/>
            </w:pPr>
            <w:r>
              <w:rPr>
                <w:rFonts w:ascii="仿宋_GB2312" w:hAnsi="仿宋_GB2312" w:cs="仿宋_GB2312" w:eastAsia="仿宋_GB2312"/>
                <w:sz w:val="21"/>
                <w:b/>
              </w:rPr>
              <w:t>2.4文档交付要求</w:t>
            </w:r>
          </w:p>
          <w:p>
            <w:pPr>
              <w:pStyle w:val="null3"/>
              <w:ind w:firstLine="420"/>
              <w:jc w:val="both"/>
            </w:pPr>
            <w:r>
              <w:rPr>
                <w:rFonts w:ascii="仿宋_GB2312" w:hAnsi="仿宋_GB2312" w:cs="仿宋_GB2312" w:eastAsia="仿宋_GB2312"/>
                <w:sz w:val="21"/>
              </w:rPr>
              <w:t>应用系统</w:t>
            </w:r>
            <w:r>
              <w:rPr>
                <w:rFonts w:ascii="仿宋_GB2312" w:hAnsi="仿宋_GB2312" w:cs="仿宋_GB2312" w:eastAsia="仿宋_GB2312"/>
                <w:sz w:val="21"/>
              </w:rPr>
              <w:t>实施</w:t>
            </w:r>
            <w:r>
              <w:rPr>
                <w:rFonts w:ascii="仿宋_GB2312" w:hAnsi="仿宋_GB2312" w:cs="仿宋_GB2312" w:eastAsia="仿宋_GB2312"/>
                <w:sz w:val="21"/>
              </w:rPr>
              <w:t>应严格按照国家软件工程规范进行，在整个项目实施过程中，须根据</w:t>
            </w:r>
            <w:r>
              <w:rPr>
                <w:rFonts w:ascii="仿宋_GB2312" w:hAnsi="仿宋_GB2312" w:cs="仿宋_GB2312" w:eastAsia="仿宋_GB2312"/>
                <w:sz w:val="21"/>
              </w:rPr>
              <w:t>实施</w:t>
            </w:r>
            <w:r>
              <w:rPr>
                <w:rFonts w:ascii="仿宋_GB2312" w:hAnsi="仿宋_GB2312" w:cs="仿宋_GB2312" w:eastAsia="仿宋_GB2312"/>
                <w:sz w:val="21"/>
              </w:rPr>
              <w:t>进度，按照医院要求及时提供用户相关技术文档，包括：</w:t>
            </w:r>
          </w:p>
          <w:p>
            <w:pPr>
              <w:pStyle w:val="null3"/>
              <w:numPr>
                <w:ilvl w:val="0"/>
                <w:numId w:val="1"/>
              </w:numPr>
            </w:pPr>
            <w:r>
              <w:rPr>
                <w:rFonts w:ascii="仿宋_GB2312" w:hAnsi="仿宋_GB2312" w:cs="仿宋_GB2312" w:eastAsia="仿宋_GB2312"/>
                <w:sz w:val="21"/>
              </w:rPr>
              <w:t>准备阶段：《实施方案》；</w:t>
            </w:r>
          </w:p>
          <w:p>
            <w:pPr>
              <w:pStyle w:val="null3"/>
              <w:numPr>
                <w:ilvl w:val="0"/>
                <w:numId w:val="1"/>
              </w:numPr>
            </w:pPr>
            <w:r>
              <w:rPr>
                <w:rFonts w:ascii="仿宋_GB2312" w:hAnsi="仿宋_GB2312" w:cs="仿宋_GB2312" w:eastAsia="仿宋_GB2312"/>
                <w:sz w:val="21"/>
              </w:rPr>
              <w:t>需求分析阶段：《需求分析说明书》；</w:t>
            </w:r>
          </w:p>
          <w:p>
            <w:pPr>
              <w:pStyle w:val="null3"/>
              <w:numPr>
                <w:ilvl w:val="0"/>
                <w:numId w:val="1"/>
              </w:numPr>
            </w:pPr>
            <w:r>
              <w:rPr>
                <w:rFonts w:ascii="仿宋_GB2312" w:hAnsi="仿宋_GB2312" w:cs="仿宋_GB2312" w:eastAsia="仿宋_GB2312"/>
                <w:sz w:val="21"/>
              </w:rPr>
              <w:t>设计阶段：第三方系统对接相关《接口说明书》；</w:t>
            </w:r>
          </w:p>
          <w:p>
            <w:pPr>
              <w:pStyle w:val="null3"/>
              <w:numPr>
                <w:ilvl w:val="0"/>
                <w:numId w:val="1"/>
              </w:numPr>
            </w:pPr>
            <w:r>
              <w:rPr>
                <w:rFonts w:ascii="仿宋_GB2312" w:hAnsi="仿宋_GB2312" w:cs="仿宋_GB2312" w:eastAsia="仿宋_GB2312"/>
                <w:sz w:val="21"/>
              </w:rPr>
              <w:t>测试阶段：《测试用例》、《测试报告》；</w:t>
            </w:r>
          </w:p>
          <w:p>
            <w:pPr>
              <w:pStyle w:val="null3"/>
              <w:numPr>
                <w:ilvl w:val="0"/>
                <w:numId w:val="1"/>
              </w:numPr>
            </w:pPr>
            <w:r>
              <w:rPr>
                <w:rFonts w:ascii="仿宋_GB2312" w:hAnsi="仿宋_GB2312" w:cs="仿宋_GB2312" w:eastAsia="仿宋_GB2312"/>
                <w:sz w:val="21"/>
              </w:rPr>
              <w:t>上线阶段：《上线方案》、《试运行</w:t>
            </w:r>
            <w:r>
              <w:rPr>
                <w:rFonts w:ascii="仿宋_GB2312" w:hAnsi="仿宋_GB2312" w:cs="仿宋_GB2312" w:eastAsia="仿宋_GB2312"/>
                <w:sz w:val="21"/>
              </w:rPr>
              <w:t>/上线报告》；</w:t>
            </w:r>
          </w:p>
          <w:p>
            <w:pPr>
              <w:pStyle w:val="null3"/>
              <w:numPr>
                <w:ilvl w:val="0"/>
                <w:numId w:val="1"/>
              </w:numPr>
            </w:pPr>
            <w:r>
              <w:rPr>
                <w:rFonts w:ascii="仿宋_GB2312" w:hAnsi="仿宋_GB2312" w:cs="仿宋_GB2312" w:eastAsia="仿宋_GB2312"/>
                <w:sz w:val="21"/>
              </w:rPr>
              <w:t>过程文档：《培训计划》、《培训记录》、《例会记录》；</w:t>
            </w:r>
          </w:p>
          <w:p>
            <w:pPr>
              <w:pStyle w:val="null3"/>
              <w:numPr>
                <w:ilvl w:val="0"/>
                <w:numId w:val="1"/>
              </w:numPr>
            </w:pPr>
            <w:r>
              <w:rPr>
                <w:rFonts w:ascii="仿宋_GB2312" w:hAnsi="仿宋_GB2312" w:cs="仿宋_GB2312" w:eastAsia="仿宋_GB2312"/>
                <w:sz w:val="21"/>
              </w:rPr>
              <w:t>交付使用：《用户手册》。</w:t>
            </w:r>
          </w:p>
          <w:p>
            <w:pPr>
              <w:pStyle w:val="null3"/>
            </w:pPr>
            <w:r>
              <w:rPr>
                <w:rFonts w:ascii="仿宋_GB2312" w:hAnsi="仿宋_GB2312" w:cs="仿宋_GB2312" w:eastAsia="仿宋_GB2312"/>
                <w:sz w:val="21"/>
                <w:b/>
              </w:rPr>
              <w:t>2.5安全及隐私要求</w:t>
            </w:r>
          </w:p>
          <w:p>
            <w:pPr>
              <w:pStyle w:val="null3"/>
              <w:ind w:firstLine="420"/>
              <w:jc w:val="both"/>
            </w:pPr>
            <w:r>
              <w:rPr>
                <w:rFonts w:ascii="仿宋_GB2312" w:hAnsi="仿宋_GB2312" w:cs="仿宋_GB2312" w:eastAsia="仿宋_GB2312"/>
                <w:sz w:val="21"/>
              </w:rPr>
              <w:t>供应商对于本次项目涉及的相关信息的安全和隐私保护措施，给出详细可行的解决方案，包括但不限于应用审计安全、用户权限控制等。</w:t>
            </w:r>
          </w:p>
          <w:p>
            <w:pPr>
              <w:pStyle w:val="null3"/>
            </w:pPr>
            <w:r>
              <w:rPr>
                <w:rFonts w:ascii="仿宋_GB2312" w:hAnsi="仿宋_GB2312" w:cs="仿宋_GB2312" w:eastAsia="仿宋_GB2312"/>
                <w:sz w:val="21"/>
                <w:b/>
              </w:rPr>
              <w:t>2.6建设工期</w:t>
            </w:r>
          </w:p>
          <w:p>
            <w:pPr>
              <w:pStyle w:val="null3"/>
              <w:ind w:firstLine="420"/>
              <w:jc w:val="both"/>
            </w:pPr>
            <w:r>
              <w:rPr>
                <w:rFonts w:ascii="仿宋_GB2312" w:hAnsi="仿宋_GB2312" w:cs="仿宋_GB2312" w:eastAsia="仿宋_GB2312"/>
                <w:sz w:val="21"/>
              </w:rPr>
              <w:t>合同签订后</w:t>
            </w:r>
            <w:r>
              <w:rPr>
                <w:rFonts w:ascii="仿宋_GB2312" w:hAnsi="仿宋_GB2312" w:cs="仿宋_GB2312" w:eastAsia="仿宋_GB2312"/>
                <w:sz w:val="21"/>
              </w:rPr>
              <w:t>9</w:t>
            </w:r>
            <w:r>
              <w:rPr>
                <w:rFonts w:ascii="仿宋_GB2312" w:hAnsi="仿宋_GB2312" w:cs="仿宋_GB2312" w:eastAsia="仿宋_GB2312"/>
                <w:sz w:val="21"/>
              </w:rPr>
              <w:t>个月内，完成本项目</w:t>
            </w:r>
            <w:r>
              <w:rPr>
                <w:rFonts w:ascii="仿宋_GB2312" w:hAnsi="仿宋_GB2312" w:cs="仿宋_GB2312" w:eastAsia="仿宋_GB2312"/>
                <w:sz w:val="21"/>
              </w:rPr>
              <w:t>试运行及验收</w:t>
            </w:r>
            <w:r>
              <w:rPr>
                <w:rFonts w:ascii="仿宋_GB2312" w:hAnsi="仿宋_GB2312" w:cs="仿宋_GB2312" w:eastAsia="仿宋_GB2312"/>
                <w:sz w:val="21"/>
              </w:rPr>
              <w:t>工作。</w:t>
            </w:r>
            <w:r>
              <w:rPr>
                <w:rFonts w:ascii="仿宋_GB2312" w:hAnsi="仿宋_GB2312" w:cs="仿宋_GB2312" w:eastAsia="仿宋_GB2312"/>
                <w:sz w:val="21"/>
              </w:rPr>
              <w:t>本项目试运行</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日历</w:t>
            </w:r>
            <w:r>
              <w:rPr>
                <w:rFonts w:ascii="仿宋_GB2312" w:hAnsi="仿宋_GB2312" w:cs="仿宋_GB2312" w:eastAsia="仿宋_GB2312"/>
                <w:sz w:val="21"/>
              </w:rPr>
              <w:t>日。</w:t>
            </w:r>
          </w:p>
          <w:p>
            <w:pPr>
              <w:pStyle w:val="null3"/>
            </w:pPr>
            <w:r>
              <w:rPr>
                <w:rFonts w:ascii="仿宋_GB2312" w:hAnsi="仿宋_GB2312" w:cs="仿宋_GB2312" w:eastAsia="仿宋_GB2312"/>
                <w:sz w:val="21"/>
                <w:b/>
              </w:rPr>
              <w:t>2.7培训要求</w:t>
            </w:r>
          </w:p>
          <w:p>
            <w:pPr>
              <w:pStyle w:val="null3"/>
              <w:ind w:firstLine="420"/>
              <w:jc w:val="both"/>
            </w:pPr>
            <w:r>
              <w:rPr>
                <w:rFonts w:ascii="仿宋_GB2312" w:hAnsi="仿宋_GB2312" w:cs="仿宋_GB2312" w:eastAsia="仿宋_GB2312"/>
                <w:sz w:val="21"/>
              </w:rPr>
              <w:t>供应商须提供包括系统软件、应用软件、安装调试等内容的培训。培训应面对不同层面的系统用户，保证用户能独立地管理、维护和配置系统，以便整个系统能够正常、安全的运行。</w:t>
            </w:r>
          </w:p>
          <w:p>
            <w:pPr>
              <w:pStyle w:val="null3"/>
            </w:pPr>
            <w:r>
              <w:rPr>
                <w:rFonts w:ascii="仿宋_GB2312" w:hAnsi="仿宋_GB2312" w:cs="仿宋_GB2312" w:eastAsia="仿宋_GB2312"/>
                <w:sz w:val="21"/>
                <w:b/>
              </w:rPr>
              <w:t>2.8验收要求</w:t>
            </w:r>
          </w:p>
          <w:p>
            <w:pPr>
              <w:pStyle w:val="null3"/>
              <w:numPr>
                <w:ilvl w:val="0"/>
                <w:numId w:val="2"/>
              </w:numPr>
              <w:jc w:val="both"/>
            </w:pPr>
            <w:r>
              <w:rPr>
                <w:rFonts w:ascii="仿宋_GB2312" w:hAnsi="仿宋_GB2312" w:cs="仿宋_GB2312" w:eastAsia="仿宋_GB2312"/>
                <w:sz w:val="21"/>
              </w:rPr>
              <w:t>本项目试运行不少于</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个日历</w:t>
            </w:r>
            <w:r>
              <w:rPr>
                <w:rFonts w:ascii="仿宋_GB2312" w:hAnsi="仿宋_GB2312" w:cs="仿宋_GB2312" w:eastAsia="仿宋_GB2312"/>
                <w:sz w:val="21"/>
              </w:rPr>
              <w:t>日</w:t>
            </w:r>
            <w:r>
              <w:rPr>
                <w:rFonts w:ascii="仿宋_GB2312" w:hAnsi="仿宋_GB2312" w:cs="仿宋_GB2312" w:eastAsia="仿宋_GB2312"/>
                <w:sz w:val="21"/>
              </w:rPr>
              <w:t>且无重大问题，</w:t>
            </w:r>
            <w:r>
              <w:rPr>
                <w:rFonts w:ascii="仿宋_GB2312" w:hAnsi="仿宋_GB2312" w:cs="仿宋_GB2312" w:eastAsia="仿宋_GB2312"/>
                <w:sz w:val="21"/>
              </w:rPr>
              <w:t>由供应商向</w:t>
            </w:r>
            <w:r>
              <w:rPr>
                <w:rFonts w:ascii="仿宋_GB2312" w:hAnsi="仿宋_GB2312" w:cs="仿宋_GB2312" w:eastAsia="仿宋_GB2312"/>
                <w:sz w:val="21"/>
              </w:rPr>
              <w:t>采购</w:t>
            </w:r>
            <w:r>
              <w:rPr>
                <w:rFonts w:ascii="仿宋_GB2312" w:hAnsi="仿宋_GB2312" w:cs="仿宋_GB2312" w:eastAsia="仿宋_GB2312"/>
                <w:sz w:val="21"/>
              </w:rPr>
              <w:t>人提出验收申请，</w:t>
            </w:r>
            <w:r>
              <w:rPr>
                <w:rFonts w:ascii="仿宋_GB2312" w:hAnsi="仿宋_GB2312" w:cs="仿宋_GB2312" w:eastAsia="仿宋_GB2312"/>
                <w:sz w:val="21"/>
              </w:rPr>
              <w:t>采购</w:t>
            </w:r>
            <w:r>
              <w:rPr>
                <w:rFonts w:ascii="仿宋_GB2312" w:hAnsi="仿宋_GB2312" w:cs="仿宋_GB2312" w:eastAsia="仿宋_GB2312"/>
                <w:sz w:val="21"/>
              </w:rPr>
              <w:t>人负责组织项目验收；</w:t>
            </w:r>
          </w:p>
          <w:p>
            <w:pPr>
              <w:pStyle w:val="null3"/>
              <w:numPr>
                <w:ilvl w:val="0"/>
                <w:numId w:val="2"/>
              </w:numPr>
              <w:jc w:val="both"/>
            </w:pPr>
            <w:r>
              <w:rPr>
                <w:rFonts w:ascii="仿宋_GB2312" w:hAnsi="仿宋_GB2312" w:cs="仿宋_GB2312" w:eastAsia="仿宋_GB2312"/>
                <w:sz w:val="21"/>
              </w:rPr>
              <w:t>验收组织：由</w:t>
            </w:r>
            <w:r>
              <w:rPr>
                <w:rFonts w:ascii="仿宋_GB2312" w:hAnsi="仿宋_GB2312" w:cs="仿宋_GB2312" w:eastAsia="仿宋_GB2312"/>
                <w:sz w:val="21"/>
              </w:rPr>
              <w:t>采购</w:t>
            </w:r>
            <w:r>
              <w:rPr>
                <w:rFonts w:ascii="仿宋_GB2312" w:hAnsi="仿宋_GB2312" w:cs="仿宋_GB2312" w:eastAsia="仿宋_GB2312"/>
                <w:sz w:val="21"/>
              </w:rPr>
              <w:t>人以及其他有关人员组成的验收小组，负责对整个系统进行全面的验收；</w:t>
            </w:r>
          </w:p>
          <w:p>
            <w:pPr>
              <w:pStyle w:val="null3"/>
              <w:numPr>
                <w:ilvl w:val="0"/>
                <w:numId w:val="2"/>
              </w:numPr>
              <w:jc w:val="both"/>
            </w:pPr>
            <w:r>
              <w:rPr>
                <w:rFonts w:ascii="仿宋_GB2312" w:hAnsi="仿宋_GB2312" w:cs="仿宋_GB2312" w:eastAsia="仿宋_GB2312"/>
                <w:sz w:val="21"/>
              </w:rPr>
              <w:t>验收标准：</w:t>
            </w:r>
            <w:r>
              <w:rPr>
                <w:rFonts w:ascii="仿宋_GB2312" w:hAnsi="仿宋_GB2312" w:cs="仿宋_GB2312" w:eastAsia="仿宋_GB2312"/>
                <w:sz w:val="21"/>
              </w:rPr>
              <w:t>对照竞争性磋商文件、磋商响应文件、合同等约定建设内容进行验收</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验收条件：</w:t>
            </w:r>
          </w:p>
          <w:p>
            <w:pPr>
              <w:pStyle w:val="null3"/>
              <w:numPr>
                <w:ilvl w:val="0"/>
                <w:numId w:val="2"/>
              </w:numPr>
              <w:ind w:left="240"/>
              <w:jc w:val="both"/>
            </w:pPr>
            <w:r>
              <w:rPr>
                <w:rFonts w:ascii="仿宋_GB2312" w:hAnsi="仿宋_GB2312" w:cs="仿宋_GB2312" w:eastAsia="仿宋_GB2312"/>
                <w:sz w:val="21"/>
              </w:rPr>
              <w:t>整理本次项目相关文档；</w:t>
            </w:r>
          </w:p>
          <w:p>
            <w:pPr>
              <w:pStyle w:val="null3"/>
              <w:numPr>
                <w:ilvl w:val="0"/>
                <w:numId w:val="2"/>
              </w:numPr>
              <w:ind w:left="240"/>
              <w:jc w:val="both"/>
            </w:pPr>
            <w:r>
              <w:rPr>
                <w:rFonts w:ascii="仿宋_GB2312" w:hAnsi="仿宋_GB2312" w:cs="仿宋_GB2312" w:eastAsia="仿宋_GB2312"/>
                <w:sz w:val="21"/>
              </w:rPr>
              <w:t>监理方出具的相关文档（如有）；</w:t>
            </w:r>
          </w:p>
          <w:p>
            <w:pPr>
              <w:pStyle w:val="null3"/>
              <w:numPr>
                <w:ilvl w:val="0"/>
                <w:numId w:val="2"/>
              </w:numPr>
              <w:ind w:left="240"/>
              <w:jc w:val="both"/>
            </w:pPr>
            <w:r>
              <w:rPr>
                <w:rFonts w:ascii="仿宋_GB2312" w:hAnsi="仿宋_GB2312" w:cs="仿宋_GB2312" w:eastAsia="仿宋_GB2312"/>
                <w:sz w:val="21"/>
              </w:rPr>
              <w:t>所有合同范围内业务系统均全部完成上线，且系统稳定运行满</w:t>
            </w:r>
            <w:r>
              <w:rPr>
                <w:rFonts w:ascii="仿宋_GB2312" w:hAnsi="仿宋_GB2312" w:cs="仿宋_GB2312" w:eastAsia="仿宋_GB2312"/>
                <w:sz w:val="21"/>
              </w:rPr>
              <w:t>90</w:t>
            </w:r>
            <w:r>
              <w:rPr>
                <w:rFonts w:ascii="仿宋_GB2312" w:hAnsi="仿宋_GB2312" w:cs="仿宋_GB2312" w:eastAsia="仿宋_GB2312"/>
                <w:sz w:val="21"/>
              </w:rPr>
              <w:t>日。</w:t>
            </w:r>
          </w:p>
          <w:p>
            <w:pPr>
              <w:pStyle w:val="null3"/>
              <w:numPr>
                <w:ilvl w:val="0"/>
                <w:numId w:val="2"/>
              </w:numPr>
              <w:jc w:val="both"/>
            </w:pPr>
            <w:r>
              <w:rPr>
                <w:rFonts w:ascii="仿宋_GB2312" w:hAnsi="仿宋_GB2312" w:cs="仿宋_GB2312" w:eastAsia="仿宋_GB2312"/>
                <w:sz w:val="21"/>
              </w:rPr>
              <w:t>向采购人提供的技术文档包括但不限于以下内容</w:t>
            </w:r>
          </w:p>
          <w:p>
            <w:pPr>
              <w:pStyle w:val="null3"/>
              <w:spacing w:before="150" w:after="150"/>
              <w:ind w:left="840"/>
              <w:jc w:val="left"/>
            </w:pPr>
            <w:r>
              <w:rPr>
                <w:rFonts w:ascii="仿宋_GB2312" w:hAnsi="仿宋_GB2312" w:cs="仿宋_GB2312" w:eastAsia="仿宋_GB2312"/>
                <w:sz w:val="21"/>
              </w:rPr>
              <w:t>(1)</w:t>
            </w:r>
            <w:r>
              <w:rPr>
                <w:rFonts w:ascii="仿宋_GB2312" w:hAnsi="仿宋_GB2312" w:cs="仿宋_GB2312" w:eastAsia="仿宋_GB2312"/>
                <w:sz w:val="21"/>
              </w:rPr>
              <w:t>技术文档（包含但不限于以下内容）</w:t>
            </w:r>
          </w:p>
          <w:p>
            <w:pPr>
              <w:pStyle w:val="null3"/>
              <w:spacing w:before="150" w:after="150"/>
              <w:ind w:left="840"/>
              <w:jc w:val="left"/>
            </w:pPr>
            <w:r>
              <w:rPr>
                <w:rFonts w:ascii="仿宋_GB2312" w:hAnsi="仿宋_GB2312" w:cs="仿宋_GB2312" w:eastAsia="仿宋_GB2312"/>
                <w:sz w:val="21"/>
              </w:rPr>
              <w:t>(2)用户调查与需求分析报告</w:t>
            </w:r>
          </w:p>
          <w:p>
            <w:pPr>
              <w:pStyle w:val="null3"/>
              <w:spacing w:before="150" w:after="150"/>
              <w:ind w:left="840"/>
              <w:jc w:val="left"/>
            </w:pPr>
            <w:r>
              <w:rPr>
                <w:rFonts w:ascii="仿宋_GB2312" w:hAnsi="仿宋_GB2312" w:cs="仿宋_GB2312" w:eastAsia="仿宋_GB2312"/>
                <w:sz w:val="21"/>
              </w:rPr>
              <w:t>(3)系统概要设计方案</w:t>
            </w:r>
          </w:p>
          <w:p>
            <w:pPr>
              <w:pStyle w:val="null3"/>
              <w:spacing w:before="150" w:after="150"/>
              <w:ind w:left="840"/>
              <w:jc w:val="left"/>
            </w:pPr>
            <w:r>
              <w:rPr>
                <w:rFonts w:ascii="仿宋_GB2312" w:hAnsi="仿宋_GB2312" w:cs="仿宋_GB2312" w:eastAsia="仿宋_GB2312"/>
                <w:sz w:val="21"/>
              </w:rPr>
              <w:t>(4)项目实施计划</w:t>
            </w:r>
          </w:p>
          <w:p>
            <w:pPr>
              <w:pStyle w:val="null3"/>
              <w:spacing w:before="150" w:after="150"/>
              <w:ind w:left="840"/>
              <w:jc w:val="left"/>
            </w:pPr>
            <w:r>
              <w:rPr>
                <w:rFonts w:ascii="仿宋_GB2312" w:hAnsi="仿宋_GB2312" w:cs="仿宋_GB2312" w:eastAsia="仿宋_GB2312"/>
                <w:sz w:val="21"/>
              </w:rPr>
              <w:t>(5)项目实施过程文档</w:t>
            </w:r>
          </w:p>
          <w:p>
            <w:pPr>
              <w:pStyle w:val="null3"/>
              <w:spacing w:before="150" w:after="150"/>
              <w:ind w:left="840"/>
              <w:jc w:val="left"/>
            </w:pPr>
            <w:r>
              <w:rPr>
                <w:rFonts w:ascii="仿宋_GB2312" w:hAnsi="仿宋_GB2312" w:cs="仿宋_GB2312" w:eastAsia="仿宋_GB2312"/>
                <w:sz w:val="21"/>
              </w:rPr>
              <w:t>(6)功能规格说明书</w:t>
            </w:r>
          </w:p>
          <w:p>
            <w:pPr>
              <w:pStyle w:val="null3"/>
              <w:spacing w:before="150" w:after="150"/>
              <w:ind w:left="840"/>
              <w:jc w:val="left"/>
            </w:pPr>
            <w:r>
              <w:rPr>
                <w:rFonts w:ascii="仿宋_GB2312" w:hAnsi="仿宋_GB2312" w:cs="仿宋_GB2312" w:eastAsia="仿宋_GB2312"/>
                <w:sz w:val="21"/>
              </w:rPr>
              <w:t>(7)系统详细设计说明书</w:t>
            </w:r>
          </w:p>
          <w:p>
            <w:pPr>
              <w:pStyle w:val="null3"/>
              <w:spacing w:before="150" w:after="150"/>
              <w:ind w:left="840"/>
              <w:jc w:val="left"/>
            </w:pPr>
            <w:r>
              <w:rPr>
                <w:rFonts w:ascii="仿宋_GB2312" w:hAnsi="仿宋_GB2312" w:cs="仿宋_GB2312" w:eastAsia="仿宋_GB2312"/>
                <w:sz w:val="21"/>
              </w:rPr>
              <w:t>(8)系统模块设计说明书</w:t>
            </w:r>
          </w:p>
          <w:p>
            <w:pPr>
              <w:pStyle w:val="null3"/>
              <w:spacing w:before="150" w:after="150"/>
              <w:ind w:left="840"/>
              <w:jc w:val="left"/>
            </w:pPr>
            <w:r>
              <w:rPr>
                <w:rFonts w:ascii="仿宋_GB2312" w:hAnsi="仿宋_GB2312" w:cs="仿宋_GB2312" w:eastAsia="仿宋_GB2312"/>
                <w:sz w:val="21"/>
              </w:rPr>
              <w:t>(9)数据库设计说明</w:t>
            </w:r>
          </w:p>
          <w:p>
            <w:pPr>
              <w:pStyle w:val="null3"/>
              <w:spacing w:before="150" w:after="150"/>
              <w:ind w:left="855"/>
              <w:jc w:val="left"/>
            </w:pPr>
            <w:r>
              <w:rPr>
                <w:rFonts w:ascii="仿宋_GB2312" w:hAnsi="仿宋_GB2312" w:cs="仿宋_GB2312" w:eastAsia="仿宋_GB2312"/>
                <w:sz w:val="21"/>
              </w:rPr>
              <w:t>(10)系统维护手册</w:t>
            </w:r>
          </w:p>
          <w:p>
            <w:pPr>
              <w:pStyle w:val="null3"/>
              <w:spacing w:before="150" w:after="150"/>
              <w:ind w:left="840"/>
              <w:jc w:val="left"/>
            </w:pPr>
            <w:r>
              <w:rPr>
                <w:rFonts w:ascii="仿宋_GB2312" w:hAnsi="仿宋_GB2312" w:cs="仿宋_GB2312" w:eastAsia="仿宋_GB2312"/>
                <w:sz w:val="21"/>
              </w:rPr>
              <w:t>(11)用户操作手册</w:t>
            </w:r>
          </w:p>
          <w:p>
            <w:pPr>
              <w:pStyle w:val="null3"/>
              <w:spacing w:before="150" w:after="150"/>
              <w:ind w:left="840"/>
              <w:jc w:val="left"/>
            </w:pPr>
            <w:r>
              <w:rPr>
                <w:rFonts w:ascii="仿宋_GB2312" w:hAnsi="仿宋_GB2312" w:cs="仿宋_GB2312" w:eastAsia="仿宋_GB2312"/>
                <w:sz w:val="21"/>
              </w:rPr>
              <w:t>(12)</w:t>
            </w:r>
            <w:r>
              <w:rPr>
                <w:rFonts w:ascii="仿宋_GB2312" w:hAnsi="仿宋_GB2312" w:cs="仿宋_GB2312" w:eastAsia="仿宋_GB2312"/>
                <w:sz w:val="21"/>
              </w:rPr>
              <w:t>测试报告</w:t>
            </w:r>
          </w:p>
          <w:p>
            <w:pPr>
              <w:pStyle w:val="null3"/>
            </w:pPr>
            <w:r>
              <w:rPr>
                <w:rFonts w:ascii="仿宋_GB2312" w:hAnsi="仿宋_GB2312" w:cs="仿宋_GB2312" w:eastAsia="仿宋_GB2312"/>
                <w:sz w:val="21"/>
                <w:b/>
              </w:rPr>
              <w:t>2.9售后服务</w:t>
            </w:r>
          </w:p>
          <w:p>
            <w:pPr>
              <w:pStyle w:val="null3"/>
              <w:numPr>
                <w:ilvl w:val="0"/>
                <w:numId w:val="2"/>
              </w:numPr>
              <w:jc w:val="both"/>
            </w:pPr>
            <w:r>
              <w:rPr>
                <w:rFonts w:ascii="仿宋_GB2312" w:hAnsi="仿宋_GB2312" w:cs="仿宋_GB2312" w:eastAsia="仿宋_GB2312"/>
                <w:sz w:val="21"/>
              </w:rPr>
              <w:t>供应商应该提供各类技术人员的职责，方便用户与相关人员的沟通，协助制定相关子系统的操作规章制度。</w:t>
            </w:r>
          </w:p>
          <w:p>
            <w:pPr>
              <w:pStyle w:val="null3"/>
              <w:numPr>
                <w:ilvl w:val="0"/>
                <w:numId w:val="2"/>
              </w:numPr>
              <w:jc w:val="both"/>
            </w:pPr>
            <w:r>
              <w:rPr>
                <w:rFonts w:ascii="仿宋_GB2312" w:hAnsi="仿宋_GB2312" w:cs="仿宋_GB2312" w:eastAsia="仿宋_GB2312"/>
                <w:sz w:val="21"/>
              </w:rPr>
              <w:t>质保期</w:t>
            </w:r>
            <w:r>
              <w:rPr>
                <w:rFonts w:ascii="仿宋_GB2312" w:hAnsi="仿宋_GB2312" w:cs="仿宋_GB2312" w:eastAsia="仿宋_GB2312"/>
                <w:sz w:val="21"/>
              </w:rPr>
              <w:t>内，应满足所提供软件的功能模块客户化需求；应提供系统扩充、升级方面的技术支持服务。</w:t>
            </w:r>
          </w:p>
          <w:p>
            <w:pPr>
              <w:pStyle w:val="null3"/>
              <w:numPr>
                <w:ilvl w:val="0"/>
                <w:numId w:val="2"/>
              </w:numPr>
              <w:jc w:val="both"/>
            </w:pPr>
            <w:r>
              <w:rPr>
                <w:rFonts w:ascii="仿宋_GB2312" w:hAnsi="仿宋_GB2312" w:cs="仿宋_GB2312" w:eastAsia="仿宋_GB2312"/>
                <w:sz w:val="21"/>
              </w:rPr>
              <w:t>质保期</w:t>
            </w:r>
            <w:r>
              <w:rPr>
                <w:rFonts w:ascii="仿宋_GB2312" w:hAnsi="仿宋_GB2312" w:cs="仿宋_GB2312" w:eastAsia="仿宋_GB2312"/>
                <w:sz w:val="21"/>
              </w:rPr>
              <w:t>提供软件支持的服务，这些服务应该包括：</w:t>
            </w:r>
          </w:p>
          <w:p>
            <w:pPr>
              <w:pStyle w:val="null3"/>
              <w:numPr>
                <w:ilvl w:val="0"/>
                <w:numId w:val="2"/>
              </w:numPr>
              <w:ind w:left="240"/>
              <w:jc w:val="both"/>
            </w:pPr>
            <w:r>
              <w:rPr>
                <w:rFonts w:ascii="仿宋_GB2312" w:hAnsi="仿宋_GB2312" w:cs="仿宋_GB2312" w:eastAsia="仿宋_GB2312"/>
                <w:sz w:val="21"/>
              </w:rPr>
              <w:t>对影响到应用系统平稳作业的问题解答与分析，并提出解决方案；</w:t>
            </w:r>
          </w:p>
          <w:p>
            <w:pPr>
              <w:pStyle w:val="null3"/>
              <w:numPr>
                <w:ilvl w:val="0"/>
                <w:numId w:val="2"/>
              </w:numPr>
              <w:ind w:left="240"/>
              <w:jc w:val="both"/>
            </w:pPr>
            <w:r>
              <w:rPr>
                <w:rFonts w:ascii="仿宋_GB2312" w:hAnsi="仿宋_GB2312" w:cs="仿宋_GB2312" w:eastAsia="仿宋_GB2312"/>
                <w:sz w:val="21"/>
              </w:rPr>
              <w:t>定期进行程序错误的修改、维护、实施；</w:t>
            </w:r>
          </w:p>
          <w:p>
            <w:pPr>
              <w:pStyle w:val="null3"/>
              <w:numPr>
                <w:ilvl w:val="0"/>
                <w:numId w:val="2"/>
              </w:numPr>
              <w:ind w:left="240"/>
              <w:jc w:val="both"/>
            </w:pPr>
            <w:r>
              <w:rPr>
                <w:rFonts w:ascii="仿宋_GB2312" w:hAnsi="仿宋_GB2312" w:cs="仿宋_GB2312" w:eastAsia="仿宋_GB2312"/>
                <w:sz w:val="21"/>
              </w:rPr>
              <w:t>信息系统的服务关联到软硬件的各个方面，因此必须对所有相关的变化进行实时的更新；</w:t>
            </w:r>
          </w:p>
          <w:p>
            <w:pPr>
              <w:pStyle w:val="null3"/>
              <w:numPr>
                <w:ilvl w:val="0"/>
                <w:numId w:val="2"/>
              </w:numPr>
              <w:ind w:left="240"/>
              <w:jc w:val="both"/>
            </w:pPr>
            <w:r>
              <w:rPr>
                <w:rFonts w:ascii="仿宋_GB2312" w:hAnsi="仿宋_GB2312" w:cs="仿宋_GB2312" w:eastAsia="仿宋_GB2312"/>
                <w:sz w:val="21"/>
              </w:rPr>
              <w:t>对所有的维护活动进行记录，并形成规范的文档，例如记录时间、地点、原因，最后还要注明完成的时间和人员；</w:t>
            </w:r>
          </w:p>
          <w:p>
            <w:pPr>
              <w:pStyle w:val="null3"/>
              <w:numPr>
                <w:ilvl w:val="0"/>
                <w:numId w:val="2"/>
              </w:numPr>
              <w:jc w:val="both"/>
            </w:pPr>
            <w:r>
              <w:rPr>
                <w:rFonts w:ascii="仿宋_GB2312" w:hAnsi="仿宋_GB2312" w:cs="仿宋_GB2312" w:eastAsia="仿宋_GB2312"/>
                <w:sz w:val="21"/>
              </w:rPr>
              <w:t>供应商应提供系统的维护服务，维护服务包含但不局限于以下几点：</w:t>
            </w:r>
          </w:p>
          <w:p>
            <w:pPr>
              <w:pStyle w:val="null3"/>
              <w:numPr>
                <w:ilvl w:val="0"/>
                <w:numId w:val="2"/>
              </w:numPr>
              <w:ind w:left="240"/>
              <w:jc w:val="both"/>
            </w:pPr>
            <w:r>
              <w:rPr>
                <w:rFonts w:ascii="仿宋_GB2312" w:hAnsi="仿宋_GB2312" w:cs="仿宋_GB2312" w:eastAsia="仿宋_GB2312"/>
                <w:sz w:val="21"/>
              </w:rPr>
              <w:t>管理、维护系统以及与其他系统的接口；</w:t>
            </w:r>
          </w:p>
          <w:p>
            <w:pPr>
              <w:pStyle w:val="null3"/>
              <w:numPr>
                <w:ilvl w:val="0"/>
                <w:numId w:val="2"/>
              </w:numPr>
              <w:ind w:left="240"/>
              <w:jc w:val="both"/>
            </w:pPr>
            <w:r>
              <w:rPr>
                <w:rFonts w:ascii="仿宋_GB2312" w:hAnsi="仿宋_GB2312" w:cs="仿宋_GB2312" w:eastAsia="仿宋_GB2312"/>
                <w:sz w:val="21"/>
              </w:rPr>
              <w:t>问题解答、问题分析、与其他合作方的协作；</w:t>
            </w:r>
          </w:p>
          <w:p>
            <w:pPr>
              <w:pStyle w:val="null3"/>
              <w:numPr>
                <w:ilvl w:val="0"/>
                <w:numId w:val="2"/>
              </w:numPr>
              <w:ind w:left="240"/>
              <w:jc w:val="both"/>
            </w:pPr>
            <w:r>
              <w:rPr>
                <w:rFonts w:ascii="仿宋_GB2312" w:hAnsi="仿宋_GB2312" w:cs="仿宋_GB2312" w:eastAsia="仿宋_GB2312"/>
                <w:sz w:val="21"/>
              </w:rPr>
              <w:t>修正应用软件的错误；</w:t>
            </w:r>
          </w:p>
          <w:p>
            <w:pPr>
              <w:pStyle w:val="null3"/>
              <w:numPr>
                <w:ilvl w:val="0"/>
                <w:numId w:val="2"/>
              </w:numPr>
              <w:ind w:left="240"/>
              <w:jc w:val="both"/>
            </w:pPr>
            <w:r>
              <w:rPr>
                <w:rFonts w:ascii="仿宋_GB2312" w:hAnsi="仿宋_GB2312" w:cs="仿宋_GB2312" w:eastAsia="仿宋_GB2312"/>
                <w:sz w:val="21"/>
              </w:rPr>
              <w:t>维护和执行的服务必须满足系统的操作；</w:t>
            </w:r>
          </w:p>
          <w:p>
            <w:pPr>
              <w:pStyle w:val="null3"/>
              <w:numPr>
                <w:ilvl w:val="0"/>
                <w:numId w:val="2"/>
              </w:numPr>
              <w:jc w:val="both"/>
            </w:pPr>
            <w:r>
              <w:rPr>
                <w:rFonts w:ascii="仿宋_GB2312" w:hAnsi="仿宋_GB2312" w:cs="仿宋_GB2312" w:eastAsia="仿宋_GB2312"/>
                <w:sz w:val="21"/>
              </w:rPr>
              <w:t>信息系统的服务是与整个系统相关的，维护服务必须保证系统的一致性与稳定性；</w:t>
            </w:r>
          </w:p>
          <w:p>
            <w:pPr>
              <w:pStyle w:val="null3"/>
              <w:numPr>
                <w:ilvl w:val="0"/>
                <w:numId w:val="2"/>
              </w:numPr>
              <w:jc w:val="both"/>
            </w:pPr>
            <w:r>
              <w:rPr>
                <w:rFonts w:ascii="仿宋_GB2312" w:hAnsi="仿宋_GB2312" w:cs="仿宋_GB2312" w:eastAsia="仿宋_GB2312"/>
                <w:sz w:val="21"/>
              </w:rPr>
              <w:t>对系统的每一次改变或是升级都必须对需求进行检查并有需求文档；</w:t>
            </w:r>
          </w:p>
          <w:p>
            <w:pPr>
              <w:pStyle w:val="null3"/>
              <w:numPr>
                <w:ilvl w:val="0"/>
                <w:numId w:val="2"/>
              </w:numPr>
              <w:jc w:val="both"/>
            </w:pPr>
            <w:r>
              <w:rPr>
                <w:rFonts w:ascii="仿宋_GB2312" w:hAnsi="仿宋_GB2312" w:cs="仿宋_GB2312" w:eastAsia="仿宋_GB2312"/>
                <w:sz w:val="21"/>
              </w:rPr>
              <w:t>文档是保证项目的实施连贯性的重要保证，供应商需要提供完善的文档，并对项目进行过程中的文档进行有效的管理，接受用户及监理方对项目各阶段评估分析和监督管理。</w:t>
            </w:r>
          </w:p>
          <w:p>
            <w:pPr>
              <w:pStyle w:val="null3"/>
              <w:numPr>
                <w:ilvl w:val="0"/>
                <w:numId w:val="2"/>
              </w:numPr>
              <w:jc w:val="both"/>
            </w:pPr>
            <w:r>
              <w:rPr>
                <w:rFonts w:ascii="仿宋_GB2312" w:hAnsi="仿宋_GB2312" w:cs="仿宋_GB2312" w:eastAsia="仿宋_GB2312"/>
                <w:sz w:val="21"/>
              </w:rPr>
              <w:t>提供</w:t>
            </w:r>
            <w:r>
              <w:rPr>
                <w:rFonts w:ascii="仿宋_GB2312" w:hAnsi="仿宋_GB2312" w:cs="仿宋_GB2312" w:eastAsia="仿宋_GB2312"/>
                <w:sz w:val="21"/>
              </w:rPr>
              <w:t>7*24小时的维护和故障解决, 在实施阶段必须保障</w:t>
            </w:r>
            <w:r>
              <w:rPr>
                <w:rFonts w:ascii="仿宋_GB2312" w:hAnsi="仿宋_GB2312" w:cs="仿宋_GB2312" w:eastAsia="仿宋_GB2312"/>
                <w:sz w:val="21"/>
              </w:rPr>
              <w:t>2</w:t>
            </w:r>
            <w:r>
              <w:rPr>
                <w:rFonts w:ascii="仿宋_GB2312" w:hAnsi="仿宋_GB2312" w:cs="仿宋_GB2312" w:eastAsia="仿宋_GB2312"/>
                <w:sz w:val="21"/>
              </w:rPr>
              <w:t>人</w:t>
            </w:r>
            <w:r>
              <w:rPr>
                <w:rFonts w:ascii="仿宋_GB2312" w:hAnsi="仿宋_GB2312" w:cs="仿宋_GB2312" w:eastAsia="仿宋_GB2312"/>
                <w:sz w:val="21"/>
              </w:rPr>
              <w:t>及</w:t>
            </w:r>
            <w:r>
              <w:rPr>
                <w:rFonts w:ascii="仿宋_GB2312" w:hAnsi="仿宋_GB2312" w:cs="仿宋_GB2312" w:eastAsia="仿宋_GB2312"/>
                <w:sz w:val="21"/>
              </w:rPr>
              <w:t>以上驻场服务，</w:t>
            </w:r>
            <w:r>
              <w:rPr>
                <w:rFonts w:ascii="仿宋_GB2312" w:hAnsi="仿宋_GB2312" w:cs="仿宋_GB2312" w:eastAsia="仿宋_GB2312"/>
                <w:sz w:val="21"/>
              </w:rPr>
              <w:t>维护期内每月不少于</w:t>
            </w:r>
            <w:r>
              <w:rPr>
                <w:rFonts w:ascii="仿宋_GB2312" w:hAnsi="仿宋_GB2312" w:cs="仿宋_GB2312" w:eastAsia="仿宋_GB2312"/>
                <w:sz w:val="21"/>
              </w:rPr>
              <w:t>1次巡检</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供应商</w:t>
            </w:r>
            <w:r>
              <w:rPr>
                <w:rFonts w:ascii="仿宋_GB2312" w:hAnsi="仿宋_GB2312" w:cs="仿宋_GB2312" w:eastAsia="仿宋_GB2312"/>
                <w:sz w:val="21"/>
              </w:rPr>
              <w:t>所供货物提供以下售后服务：</w:t>
            </w:r>
          </w:p>
          <w:p>
            <w:pPr>
              <w:pStyle w:val="null3"/>
              <w:ind w:firstLine="420"/>
              <w:jc w:val="both"/>
            </w:pPr>
            <w:r>
              <w:rPr>
                <w:rFonts w:ascii="仿宋_GB2312" w:hAnsi="仿宋_GB2312" w:cs="仿宋_GB2312" w:eastAsia="仿宋_GB2312"/>
                <w:sz w:val="21"/>
              </w:rPr>
              <w:t>（一）质保期内：</w:t>
            </w:r>
          </w:p>
          <w:p>
            <w:pPr>
              <w:pStyle w:val="null3"/>
              <w:ind w:firstLine="420"/>
              <w:jc w:val="both"/>
            </w:pPr>
            <w:r>
              <w:rPr>
                <w:rFonts w:ascii="仿宋_GB2312" w:hAnsi="仿宋_GB2312" w:cs="仿宋_GB2312" w:eastAsia="仿宋_GB2312"/>
                <w:sz w:val="21"/>
              </w:rPr>
              <w:t>1、供应商应告知采购人产品的使用、维护、保养等有关注意事项，并根据招投标文件要求对采购人的人员进行培训。</w:t>
            </w:r>
          </w:p>
          <w:p>
            <w:pPr>
              <w:pStyle w:val="null3"/>
              <w:ind w:firstLine="420"/>
              <w:jc w:val="both"/>
            </w:pPr>
            <w:r>
              <w:rPr>
                <w:rFonts w:ascii="仿宋_GB2312" w:hAnsi="仿宋_GB2312" w:cs="仿宋_GB2312" w:eastAsia="仿宋_GB2312"/>
                <w:sz w:val="21"/>
              </w:rPr>
              <w:t>2、软件系统质保期内，</w:t>
            </w:r>
            <w:r>
              <w:rPr>
                <w:rFonts w:ascii="仿宋_GB2312" w:hAnsi="仿宋_GB2312" w:cs="仿宋_GB2312" w:eastAsia="仿宋_GB2312"/>
                <w:sz w:val="21"/>
                <w:b/>
              </w:rPr>
              <w:t>负责</w:t>
            </w:r>
            <w:r>
              <w:rPr>
                <w:rFonts w:ascii="仿宋_GB2312" w:hAnsi="仿宋_GB2312" w:cs="仿宋_GB2312" w:eastAsia="仿宋_GB2312"/>
                <w:sz w:val="21"/>
              </w:rPr>
              <w:t>所有软件维护服务。在使用过程中若产品发生质量问题或故障，在接到采购人通知后立即响应，</w:t>
            </w:r>
            <w:r>
              <w:rPr>
                <w:rFonts w:ascii="仿宋_GB2312" w:hAnsi="仿宋_GB2312" w:cs="仿宋_GB2312" w:eastAsia="仿宋_GB2312"/>
                <w:sz w:val="21"/>
              </w:rPr>
              <w:t>1个小时到达故障现场处理，一般故障处理时限不超过2小时。重大故障处理时限不超过4小时，若8小时内不能修复，必须提供应急必选使用方案。提供7*24小时系统故障电话响应，远程处理，</w:t>
            </w:r>
            <w:r>
              <w:rPr>
                <w:rFonts w:ascii="仿宋_GB2312" w:hAnsi="仿宋_GB2312" w:cs="仿宋_GB2312" w:eastAsia="仿宋_GB2312"/>
                <w:sz w:val="21"/>
                <w:b/>
              </w:rPr>
              <w:t>负责</w:t>
            </w:r>
            <w:r>
              <w:rPr>
                <w:rFonts w:ascii="仿宋_GB2312" w:hAnsi="仿宋_GB2312" w:cs="仿宋_GB2312" w:eastAsia="仿宋_GB2312"/>
                <w:sz w:val="21"/>
              </w:rPr>
              <w:t>维护的技术服务。</w:t>
            </w:r>
          </w:p>
          <w:p>
            <w:pPr>
              <w:pStyle w:val="null3"/>
              <w:ind w:firstLine="420"/>
            </w:pPr>
            <w:r>
              <w:rPr>
                <w:rFonts w:ascii="仿宋_GB2312" w:hAnsi="仿宋_GB2312" w:cs="仿宋_GB2312" w:eastAsia="仿宋_GB2312"/>
                <w:sz w:val="21"/>
              </w:rPr>
              <w:t>3、质保期内</w:t>
            </w:r>
            <w:r>
              <w:rPr>
                <w:rFonts w:ascii="仿宋_GB2312" w:hAnsi="仿宋_GB2312" w:cs="仿宋_GB2312" w:eastAsia="仿宋_GB2312"/>
                <w:sz w:val="21"/>
              </w:rPr>
              <w:t>负责</w:t>
            </w:r>
            <w:r>
              <w:rPr>
                <w:rFonts w:ascii="仿宋_GB2312" w:hAnsi="仿宋_GB2312" w:cs="仿宋_GB2312" w:eastAsia="仿宋_GB2312"/>
                <w:sz w:val="21"/>
              </w:rPr>
              <w:t>所有硬件设备维修及软件维护升级。</w:t>
            </w:r>
          </w:p>
          <w:p>
            <w:pPr>
              <w:pStyle w:val="null3"/>
              <w:ind w:firstLine="420"/>
            </w:pPr>
            <w:r>
              <w:rPr>
                <w:rFonts w:ascii="仿宋_GB2312" w:hAnsi="仿宋_GB2312" w:cs="仿宋_GB2312" w:eastAsia="仿宋_GB2312"/>
                <w:sz w:val="21"/>
              </w:rPr>
              <w:t>4、质保期内，</w:t>
            </w:r>
            <w:r>
              <w:rPr>
                <w:rFonts w:ascii="仿宋_GB2312" w:hAnsi="仿宋_GB2312" w:cs="仿宋_GB2312" w:eastAsia="仿宋_GB2312"/>
                <w:sz w:val="21"/>
              </w:rPr>
              <w:t>负责</w:t>
            </w:r>
            <w:r>
              <w:rPr>
                <w:rFonts w:ascii="仿宋_GB2312" w:hAnsi="仿宋_GB2312" w:cs="仿宋_GB2312" w:eastAsia="仿宋_GB2312"/>
                <w:sz w:val="21"/>
              </w:rPr>
              <w:t>在不改变软件整体架构前提下，提供个性化需求。</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合同签订后9个月内，完成本项目试运行及验收工作。本项目试运行≥90日历日。质保期≥3年。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符合国家、行业、地方规定以及采购人规定的质量及安全标准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所有货物到达采购人指定地点，安装、调试完毕并验收合格后，乙方开具剩余合同金额的发票后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从验收合格之日起质保期满后，如无质量、服务问题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支付约定：因政府采购系统设置局限性，本项目实际支付结算方式为：签订合同后，乙方向甲方提供等额正规发票后30日内，甲方支付合同总金额的40%；所有货物到达采购人指定地点，安装、调试完毕并验收合格后，乙方开具剩余合同金额的发票后30日内，支付合同总金额的55%。从验收合格之日起质保期满后，甲方确认无质量、服务问题，支付合同总金额的5%。 支付方式：银行转账。乙方要如实开具发票，不得变更开票内容，乙方开具发票出现税务争议时，乙方需承担税款、滞纳金、罚款等赔偿责任以及其他相关责任。 结算方式：验收合格后填写采购项目验收单（一式肆份）, 持中标通知书、供货合同、发票、项目验收单，到采购人办理资金结算。 2.本项目采购标的所属行业为软件和信息技术服务业。(按照《工信部国家统计局发改委财政部工信部联企业》中小企业划型标准((2011)300号)规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单位在成交后需向采购人免费提供纸质响应文件正本壹份、副本贰份，用于项目归档使用。纸质版与上传版必须保持一致，若纸质版响应文件与上传政府采购系统电子版文件不一致时，以政府采购平台上传版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1月1日以来已缴存的至少一个月的社会保障资金缴存单据或社保机构开具的社会保险参保缴费情况证明（缴费种类至少包含养老保险），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法定代表人身份证明与法定代表人授权书.docx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采购人职工及其配偶、直系亲属投资开办或在相关企业担任高管、独立董事等有重大利益关系职务的相关供应商，进入西安市卫健委各级系统“黑名单”的，不得参与磋商（提供承诺函）；</w:t>
            </w:r>
          </w:p>
        </w:tc>
        <w:tc>
          <w:tcPr>
            <w:tcW w:type="dxa" w:w="1661"/>
          </w:tcPr>
          <w:p>
            <w:pPr>
              <w:pStyle w:val="null3"/>
            </w:pPr>
            <w:r>
              <w:rPr>
                <w:rFonts w:ascii="仿宋_GB2312" w:hAnsi="仿宋_GB2312" w:cs="仿宋_GB2312" w:eastAsia="仿宋_GB2312"/>
              </w:rPr>
              <w:t>资格证明文件.docx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响应文件封面 残疾人福利性单位声明函 服务方案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响应文件封面 残疾人福利性单位声明函 服务方案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响应文件封面 残疾人福利性单位声明函 服务方案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响应文件封面 残疾人福利性单位声明函 服务方案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供应商代表或法定代表人本人提供近三个月社保证明资料</w:t>
            </w:r>
          </w:p>
        </w:tc>
        <w:tc>
          <w:tcPr>
            <w:tcW w:type="dxa" w:w="1661"/>
          </w:tcPr>
          <w:p>
            <w:pPr>
              <w:pStyle w:val="null3"/>
            </w:pPr>
            <w:r>
              <w:rPr>
                <w:rFonts w:ascii="仿宋_GB2312" w:hAnsi="仿宋_GB2312" w:cs="仿宋_GB2312" w:eastAsia="仿宋_GB2312"/>
              </w:rPr>
              <w:t>法定代表人身份证明与法定代表人授权书.docx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技术参数清楚、明确，完全满足采购要求得7分。每有一项负偏离扣1分。扣完为止。（“▲”项如有负偏离，不在本项扣分）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系统演示项</w:t>
            </w:r>
          </w:p>
        </w:tc>
        <w:tc>
          <w:tcPr>
            <w:tcW w:type="dxa" w:w="2492"/>
          </w:tcPr>
          <w:p>
            <w:pPr>
              <w:pStyle w:val="null3"/>
            </w:pPr>
            <w:r>
              <w:rPr>
                <w:rFonts w:ascii="仿宋_GB2312" w:hAnsi="仿宋_GB2312" w:cs="仿宋_GB2312" w:eastAsia="仿宋_GB2312"/>
              </w:rPr>
              <w:t>“▲”项提供现场演示，全部满足得15分，未演示或演示不全，每项扣3分，扣完为止。（注：需提供对应系统功能截图，并需进行现场软件内容展示,供应商须使用实际生产环境或开发环境的真实系统进行演示，不接受PPT、视频或者静态界面演示,演示时间不超过10分钟，演示人员不超过2人，供应商自行准备演示所需各类设备和网络环境，演示现场仅提供投影。）</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总体服务计划</w:t>
            </w:r>
          </w:p>
        </w:tc>
        <w:tc>
          <w:tcPr>
            <w:tcW w:type="dxa" w:w="2492"/>
          </w:tcPr>
          <w:p>
            <w:pPr>
              <w:pStyle w:val="null3"/>
            </w:pPr>
            <w:r>
              <w:rPr>
                <w:rFonts w:ascii="仿宋_GB2312" w:hAnsi="仿宋_GB2312" w:cs="仿宋_GB2312" w:eastAsia="仿宋_GB2312"/>
              </w:rPr>
              <w:t>服务方案详细，合理可行，专门针对本项目，符合采购需求和实际情况，得15分； 服务方案基本完整，针对所有服务内容，基本详细，基本合理可行，有针对性，基本符合本项目采购需求和实际情况，得13分； 服务方案基本完整，方案简单，基本合理，基本符合本项目采购需求和实际情况，得11分； 服务方案属于通用类，非专门针对本项目，部分符合实际情况，得8分； 服务方案空泛简单，无针对性，得4分； 服务方案有重大瑕疵，得2分； 不满足项目要求或未提供内容的，得0分。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保障措施具体详细、承诺内容安排合理贴近项目情况的计10分，措施较合理、承诺内容较详细，基本贴近项目情况的计6分，方案内容简单但贴近项目情况4分，方案可实施性差，无针对性或内容欠缺的2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贴近项目情况、针对性强的的计10分，处置措施较科学合理，基本贴近项目情况、针对性较强的的计6分，处理措施内容简单有欠缺，但基本贴近项目情况计4分，处理措施内容无可实施性或未贴合实际记2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针对人员配备及岗位职责要求，人员配备合理，人员岗位职责具体详细明确。 设置项目负责人1人，项目负责人需具备多年本行业工作经验，高级程序员证书（全部满足3分，一项不满足得0分）； 设置项目经理1人，项目经理经理需提供高级信息系统项目管理师证书（全部满足3分，一项不满足得0分）； 项目成员要求：设置项目技术工程师1人，提供计算机相关专业本科以上（包含本科）学历证明；设置项目文档工程师1人，提供现代文秘或文学相关专业本科以上（包含本科）学历；设置项目UI工程师1人，要求美术设计相关专业本科以上（包含本科）学历。（项目成员每满足一项得2分） （提供人员简历、身份证正反面、有效证书扫描件、劳动合同以及近3个月社保证明）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的人员的培训考核方案：培训考核方案合理清晰、贴和项目实际情况、针对性强的得10分；培训考核方案基本合理、基本贴和项目实际情况得6分；培训方案内容简单有欠缺，或未贴合实际情况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售后服务范围及保障措施内容完整、可实施、贴和项目实际情况，有针对性得5分；售后服务范围及保障措施内容完整、可实施，基本贴和项目实际情况得3分；方案内容简单有欠缺，或未贴合实际情况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提供供应商2022年7月1日至今类似业绩合同（以合同签订时间为准），每提供一份得2分，最高得6分，未提供不得分。 评审标准：提供完整合同复印件加盖供应商公章。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详见附件：法定代表人身份证明与法定代表人授权书.docx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