
<file path=[Content_Types].xml><?xml version="1.0" encoding="utf-8"?>
<Types xmlns="http://schemas.openxmlformats.org/package/2006/content-types">
  <Default ContentType="image/jpeg" Extension="jpe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版本号：JXZB2025-W210420251103001</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公墓墓地用石材</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JXZB2025-W2104</w:t>
      </w:r>
      <w:r>
        <w:br/>
      </w:r>
      <w:r>
        <w:br/>
      </w:r>
      <w:r>
        <w:br/>
      </w:r>
    </w:p>
    <w:p>
      <w:pPr>
        <w:pStyle w:val="null3"/>
        <w:jc w:val="center"/>
        <w:outlineLvl w:val="2"/>
      </w:pPr>
      <w:r>
        <w:rPr>
          <w:rFonts w:ascii="仿宋_GB2312" w:hAnsi="仿宋_GB2312" w:cs="仿宋_GB2312" w:eastAsia="仿宋_GB2312"/>
          <w:sz w:val="28"/>
          <w:b/>
        </w:rPr>
        <w:t>西安市奉正塬殡仪馆</w:t>
      </w:r>
    </w:p>
    <w:p>
      <w:pPr>
        <w:pStyle w:val="null3"/>
        <w:jc w:val="center"/>
        <w:outlineLvl w:val="2"/>
      </w:pPr>
      <w:r>
        <w:rPr>
          <w:rFonts w:ascii="仿宋_GB2312" w:hAnsi="仿宋_GB2312" w:cs="仿宋_GB2312" w:eastAsia="仿宋_GB2312"/>
          <w:sz w:val="28"/>
          <w:b/>
        </w:rPr>
        <w:t>中天久信管理咨询集团有限公司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2025年11月05日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中天久信管理咨询集团有限公司</w:t>
      </w:r>
      <w:r>
        <w:rPr>
          <w:rFonts w:ascii="仿宋_GB2312" w:hAnsi="仿宋_GB2312" w:cs="仿宋_GB2312" w:eastAsia="仿宋_GB2312"/>
        </w:rPr>
        <w:t>（以下简称“代理机构”）受</w:t>
      </w:r>
      <w:r>
        <w:rPr>
          <w:rFonts w:ascii="仿宋_GB2312" w:hAnsi="仿宋_GB2312" w:cs="仿宋_GB2312" w:eastAsia="仿宋_GB2312"/>
        </w:rPr>
        <w:t>西安市奉正塬殡仪馆</w:t>
      </w:r>
      <w:r>
        <w:rPr>
          <w:rFonts w:ascii="仿宋_GB2312" w:hAnsi="仿宋_GB2312" w:cs="仿宋_GB2312" w:eastAsia="仿宋_GB2312"/>
        </w:rPr>
        <w:t>委托，拟对</w:t>
      </w:r>
      <w:r>
        <w:rPr>
          <w:rFonts w:ascii="仿宋_GB2312" w:hAnsi="仿宋_GB2312" w:cs="仿宋_GB2312" w:eastAsia="仿宋_GB2312"/>
        </w:rPr>
        <w:t>公墓墓地用石材</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JXZB2025-W2104</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公墓墓地用石材</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公墓墓地用石材</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1.执行政府采购促进中小企业发展的相关政策</w:t>
      </w:r>
    </w:p>
    <w:p>
      <w:pPr>
        <w:pStyle w:val="null3"/>
      </w:pPr>
      <w:r>
        <w:rPr>
          <w:rFonts w:ascii="仿宋_GB2312" w:hAnsi="仿宋_GB2312" w:cs="仿宋_GB2312" w:eastAsia="仿宋_GB2312"/>
        </w:rPr>
        <w:t>采购包1（公墓墓地用石材）：属于专门面向中小企业采购。</w:t>
      </w:r>
    </w:p>
    <w:p>
      <w:pPr>
        <w:pStyle w:val="null3"/>
      </w:pPr>
      <w:r>
        <w:rPr>
          <w:rFonts w:ascii="仿宋_GB2312" w:hAnsi="仿宋_GB2312" w:cs="仿宋_GB2312" w:eastAsia="仿宋_GB2312"/>
        </w:rPr>
        <w:t>采购包2（公墓墓地用石材）：属于专门面向中小企业采购。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1、营业执照：具有独立承担民事责任能力的法人、其他组织或自然人，并出具合法有效的营业执照或事业单位法人证书等国家规定的相关证明 ，自然人参与的提供其身份证明。</w:t>
      </w:r>
    </w:p>
    <w:p>
      <w:pPr>
        <w:pStyle w:val="null3"/>
      </w:pPr>
      <w:r>
        <w:rPr>
          <w:rFonts w:ascii="仿宋_GB2312" w:hAnsi="仿宋_GB2312" w:cs="仿宋_GB2312" w:eastAsia="仿宋_GB2312"/>
        </w:rPr>
        <w:t>2、法人授权书及被授权人有效身份证明：法定代表人直接参加投标的，须出具法人身份证明及身份证扫描件；法定代表人授权代表参加投标的，须出具法定代表人授权书及授权代表身份证扫描件。</w:t>
      </w:r>
    </w:p>
    <w:p>
      <w:pPr>
        <w:pStyle w:val="null3"/>
      </w:pPr>
      <w:r>
        <w:rPr>
          <w:rFonts w:ascii="仿宋_GB2312" w:hAnsi="仿宋_GB2312" w:cs="仿宋_GB2312" w:eastAsia="仿宋_GB2312"/>
        </w:rPr>
        <w:t>3、财务状况：供应商提供2023或2024年的财务审计报告（至少包括资产负债表和利润表，成立时间至提交响应文件截止时间不足一年的可提供成立后任意时段的资产负债表），或其开标前六个月内银行开具的资信证明；</w:t>
      </w:r>
    </w:p>
    <w:p>
      <w:pPr>
        <w:pStyle w:val="null3"/>
      </w:pPr>
      <w:r>
        <w:rPr>
          <w:rFonts w:ascii="仿宋_GB2312" w:hAnsi="仿宋_GB2312" w:cs="仿宋_GB2312" w:eastAsia="仿宋_GB2312"/>
        </w:rPr>
        <w:t>4、税收缴纳证明：供应商提供近一年内已缴纳的至少一个月的纳税证明或完税证明，纳税证明或完税证明上应有代收机构或税务机关的公章，依法免税的供应商应提供相关文件证明；</w:t>
      </w:r>
    </w:p>
    <w:p>
      <w:pPr>
        <w:pStyle w:val="null3"/>
      </w:pPr>
      <w:r>
        <w:rPr>
          <w:rFonts w:ascii="仿宋_GB2312" w:hAnsi="仿宋_GB2312" w:cs="仿宋_GB2312" w:eastAsia="仿宋_GB2312"/>
        </w:rPr>
        <w:t>5、社会保障资金缴纳证明：供应商提供近一年内本单位已缴存的至少一个月的社会保障资金缴存单据或社保机构开具的社会保险参保缴费情况证明，依法不需要缴纳社会保障资金的供应商应提供相关文件证明；</w:t>
      </w:r>
    </w:p>
    <w:p>
      <w:pPr>
        <w:pStyle w:val="null3"/>
      </w:pPr>
      <w:r>
        <w:rPr>
          <w:rFonts w:ascii="仿宋_GB2312" w:hAnsi="仿宋_GB2312" w:cs="仿宋_GB2312" w:eastAsia="仿宋_GB2312"/>
        </w:rPr>
        <w:t>6、无重大违法记录声明：供应商应具备良好的商业信誉，提供参加政府采购活动前3年内在经营活动中没有重大违法记录的书面声明；</w:t>
      </w:r>
    </w:p>
    <w:p>
      <w:pPr>
        <w:pStyle w:val="null3"/>
      </w:pPr>
      <w:r>
        <w:rPr>
          <w:rFonts w:ascii="仿宋_GB2312" w:hAnsi="仿宋_GB2312" w:cs="仿宋_GB2312" w:eastAsia="仿宋_GB2312"/>
        </w:rPr>
        <w:t>7、履行合同承诺函：提供具有履行合同所必需的设备和专业技术能力的承诺函。</w:t>
      </w:r>
    </w:p>
    <w:p>
      <w:pPr>
        <w:pStyle w:val="null3"/>
      </w:pPr>
      <w:r>
        <w:rPr>
          <w:rFonts w:ascii="仿宋_GB2312" w:hAnsi="仿宋_GB2312" w:cs="仿宋_GB2312" w:eastAsia="仿宋_GB2312"/>
        </w:rPr>
        <w:t>8、供应商信用截图：供应商提供不得为“信用中国”网站(http://www.creditchina.gov.cn)列入“失信被执行人（页面跳转至“中国执行信息公开网”http://zxgk.court.gov.cn/shixin/）、重大税收违法失信主体”的投标人；不得为中国政府采购网(http://www.ccgp.gov.cn)“政府采购严重违法失信行为记录名单”的投标人。</w:t>
      </w:r>
    </w:p>
    <w:p>
      <w:pPr>
        <w:pStyle w:val="null3"/>
      </w:pPr>
      <w:r>
        <w:rPr>
          <w:rFonts w:ascii="仿宋_GB2312" w:hAnsi="仿宋_GB2312" w:cs="仿宋_GB2312" w:eastAsia="仿宋_GB2312"/>
        </w:rPr>
        <w:t>9、承诺书：单位负责人为同一人或者存在直接控股、管理关系的不同供应商不得参加同一合同项下的政府采购活动；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p>
      <w:pPr>
        <w:pStyle w:val="null3"/>
      </w:pPr>
      <w:r>
        <w:rPr>
          <w:rFonts w:ascii="仿宋_GB2312" w:hAnsi="仿宋_GB2312" w:cs="仿宋_GB2312" w:eastAsia="仿宋_GB2312"/>
        </w:rPr>
        <w:t>10、供应商性质：本采购包专门面向中小企业采购。</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1、营业执照：具有独立承担民事责任能力的法人、其他组织或自然人，并出具合法有效的营业执照或事业单位法人证书等国家规定的相关证明 ，自然人参与的提供其身份证明。</w:t>
      </w:r>
    </w:p>
    <w:p>
      <w:pPr>
        <w:pStyle w:val="null3"/>
      </w:pPr>
      <w:r>
        <w:rPr>
          <w:rFonts w:ascii="仿宋_GB2312" w:hAnsi="仿宋_GB2312" w:cs="仿宋_GB2312" w:eastAsia="仿宋_GB2312"/>
        </w:rPr>
        <w:t>2、法人授权书及被授权人有效身份证明：法定代表人直接参加投标的，须出具法人身份证明及身份证扫描件；法定代表人授权代表参加投标的，须出具法定代表人授权书及授权代表身份证扫描件。</w:t>
      </w:r>
    </w:p>
    <w:p>
      <w:pPr>
        <w:pStyle w:val="null3"/>
      </w:pPr>
      <w:r>
        <w:rPr>
          <w:rFonts w:ascii="仿宋_GB2312" w:hAnsi="仿宋_GB2312" w:cs="仿宋_GB2312" w:eastAsia="仿宋_GB2312"/>
        </w:rPr>
        <w:t>3、财务状况：供应商提供2023或2024年的财务审计报告（至少包括资产负债表和利润表，成立时间至提交响应文件截止时间不足一年的可提供成立后任意时段的资产负债表），或其开标前六个月内银行开具的资信证明；</w:t>
      </w:r>
    </w:p>
    <w:p>
      <w:pPr>
        <w:pStyle w:val="null3"/>
      </w:pPr>
      <w:r>
        <w:rPr>
          <w:rFonts w:ascii="仿宋_GB2312" w:hAnsi="仿宋_GB2312" w:cs="仿宋_GB2312" w:eastAsia="仿宋_GB2312"/>
        </w:rPr>
        <w:t>4、税收缴纳证明：供应商提供近一年内已缴纳的至少一个月的纳税证明或完税证明，纳税证明或完税证明上应有代收机构或税务机关的公章，依法免税的供应商应提供相关文件证明；</w:t>
      </w:r>
    </w:p>
    <w:p>
      <w:pPr>
        <w:pStyle w:val="null3"/>
      </w:pPr>
      <w:r>
        <w:rPr>
          <w:rFonts w:ascii="仿宋_GB2312" w:hAnsi="仿宋_GB2312" w:cs="仿宋_GB2312" w:eastAsia="仿宋_GB2312"/>
        </w:rPr>
        <w:t>5、社会保障资金缴纳证明：供应商提供近一年内本单位已缴存的至少一个月的社会保障资金缴存单据或社保机构开具的社会保险参保缴费情况证明，依法不需要缴纳社会保障资金的供应商应提供相关文件证明；</w:t>
      </w:r>
    </w:p>
    <w:p>
      <w:pPr>
        <w:pStyle w:val="null3"/>
      </w:pPr>
      <w:r>
        <w:rPr>
          <w:rFonts w:ascii="仿宋_GB2312" w:hAnsi="仿宋_GB2312" w:cs="仿宋_GB2312" w:eastAsia="仿宋_GB2312"/>
        </w:rPr>
        <w:t>6、无重大违法记录声明：供应商应具备良好的商业信誉，提供参加政府采购活动前3年内在经营活动中没有重大违法记录的书面声明；</w:t>
      </w:r>
    </w:p>
    <w:p>
      <w:pPr>
        <w:pStyle w:val="null3"/>
      </w:pPr>
      <w:r>
        <w:rPr>
          <w:rFonts w:ascii="仿宋_GB2312" w:hAnsi="仿宋_GB2312" w:cs="仿宋_GB2312" w:eastAsia="仿宋_GB2312"/>
        </w:rPr>
        <w:t>7、履行合同承诺函：提供具有履行合同所必需的设备和专业技术能力的承诺函。</w:t>
      </w:r>
    </w:p>
    <w:p>
      <w:pPr>
        <w:pStyle w:val="null3"/>
      </w:pPr>
      <w:r>
        <w:rPr>
          <w:rFonts w:ascii="仿宋_GB2312" w:hAnsi="仿宋_GB2312" w:cs="仿宋_GB2312" w:eastAsia="仿宋_GB2312"/>
        </w:rPr>
        <w:t>8、供应商信用截图：供应商提供不得为“信用中国”网站(http://www.creditchina.gov.cn)列入“失信被执行人（页面跳转至“中国执行信息公开网”http://zxgk.court.gov.cn/shixin/）、重大税收违法失信主体”的投标人；不得为中国政府采购网(http://www.ccgp.gov.cn)“政府采购严重违法失信行为记录名单”的投标人。</w:t>
      </w:r>
    </w:p>
    <w:p>
      <w:pPr>
        <w:pStyle w:val="null3"/>
      </w:pPr>
      <w:r>
        <w:rPr>
          <w:rFonts w:ascii="仿宋_GB2312" w:hAnsi="仿宋_GB2312" w:cs="仿宋_GB2312" w:eastAsia="仿宋_GB2312"/>
        </w:rPr>
        <w:t>9、承诺书：单位负责人为同一人或者存在直接控股、管理关系的不同供应商不得参加同一合同项下的政府采购活动；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p>
      <w:pPr>
        <w:pStyle w:val="null3"/>
      </w:pPr>
      <w:r>
        <w:rPr>
          <w:rFonts w:ascii="仿宋_GB2312" w:hAnsi="仿宋_GB2312" w:cs="仿宋_GB2312" w:eastAsia="仿宋_GB2312"/>
        </w:rPr>
        <w:t>10、供应商性质：本采购包专门面向中小企业采购。</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jc w:val="left"/>
      </w:pPr>
      <w:r>
        <w:rPr>
          <w:rFonts w:ascii="仿宋_GB2312" w:hAnsi="仿宋_GB2312" w:cs="仿宋_GB2312" w:eastAsia="仿宋_GB2312"/>
        </w:rPr>
        <w:t>注：获取的招标文件主体格式包括pdf、word两种格式版本，其中以pdf格式为准。</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西安市奉正塬殡仪馆</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陕西省西安市高陵区马北村</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710200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刘江锋</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18700447165</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中天久信管理咨询集团有限公司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西安市雁塔区高新区锦业路38号粤汉酒店F层</w:t>
      </w:r>
    </w:p>
    <w:p>
      <w:pPr>
        <w:pStyle w:val="null3"/>
      </w:pPr>
      <w:r>
        <w:rPr>
          <w:rFonts w:ascii="仿宋_GB2312" w:hAnsi="仿宋_GB2312" w:cs="仿宋_GB2312" w:eastAsia="仿宋_GB2312"/>
        </w:rPr>
        <w:t xml:space="preserve"> 邮编： </w:t>
      </w:r>
      <w:r>
        <w:rPr>
          <w:rFonts w:ascii="仿宋_GB2312" w:hAnsi="仿宋_GB2312" w:cs="仿宋_GB2312" w:eastAsia="仿宋_GB2312"/>
        </w:rPr>
        <w:t xml:space="preserve"> 710075</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庞冰倩、屈琳妮</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 xml:space="preserve"> 17392904755</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西安市财政局政府采购管理处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杜新星</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029-89821846</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采购包1：1,300,000.00元</w:t>
            </w:r>
          </w:p>
          <w:p>
            <w:pPr>
              <w:pStyle w:val="null3"/>
            </w:pPr>
            <w:r>
              <w:rPr>
                <w:rFonts w:ascii="仿宋_GB2312" w:hAnsi="仿宋_GB2312" w:cs="仿宋_GB2312" w:eastAsia="仿宋_GB2312"/>
              </w:rPr>
              <w:t>采购包2：700,000.00元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p>
          <w:p>
            <w:pPr>
              <w:pStyle w:val="null3"/>
            </w:pPr>
            <w:r>
              <w:rPr>
                <w:rFonts w:ascii="仿宋_GB2312" w:hAnsi="仿宋_GB2312" w:cs="仿宋_GB2312" w:eastAsia="仿宋_GB2312"/>
              </w:rPr>
              <w:t>采购包2：不接受</w:t>
            </w:r>
            <w:r>
              <w:rPr>
                <w:rFonts w:ascii="仿宋_GB2312" w:hAnsi="仿宋_GB2312" w:cs="仿宋_GB2312" w:eastAsia="仿宋_GB2312"/>
              </w:rPr>
              <w:t xml:space="preserve"> 如以联合体投标的，联合体各方均应当具备本招标文件要求的资格条件和能力。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 xml:space="preserve"> 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p>
            <w:pPr>
              <w:pStyle w:val="null3"/>
            </w:pPr>
            <w:r>
              <w:rPr>
                <w:rFonts w:ascii="仿宋_GB2312" w:hAnsi="仿宋_GB2312" w:cs="仿宋_GB2312" w:eastAsia="仿宋_GB2312"/>
              </w:rPr>
              <w:t>采购包2：不缴纳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参照国家计委颁发的《招标代理服务收费管理暂行办法》（计价格[2002]1980号）和国家发展改革委员会办公厅颁发的《关于招标代理服务收费有关问题的通知》（发改办价格[2003]857号）的有关规定执行。</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p>
            <w:pPr>
              <w:pStyle w:val="null3"/>
            </w:pPr>
            <w:r>
              <w:rPr>
                <w:rFonts w:ascii="仿宋_GB2312" w:hAnsi="仿宋_GB2312" w:cs="仿宋_GB2312" w:eastAsia="仿宋_GB2312"/>
              </w:rPr>
              <w:t>采购包2：组织现场踏勘：否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出现下列情形之一的，采购人或者采购代理机构应当中止电子化采购活动，并保留相关证明材料备查：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西安市奉正塬殡仪馆</w:t>
      </w:r>
      <w:r>
        <w:rPr>
          <w:rFonts w:ascii="仿宋_GB2312" w:hAnsi="仿宋_GB2312" w:cs="仿宋_GB2312" w:eastAsia="仿宋_GB2312"/>
        </w:rPr>
        <w:t>和</w:t>
      </w:r>
      <w:r>
        <w:rPr>
          <w:rFonts w:ascii="仿宋_GB2312" w:hAnsi="仿宋_GB2312" w:cs="仿宋_GB2312" w:eastAsia="仿宋_GB2312"/>
        </w:rPr>
        <w:t>中天久信管理咨询集团有限公司</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西安市奉正塬殡仪馆</w:t>
      </w:r>
      <w:r>
        <w:rPr>
          <w:rFonts w:ascii="仿宋_GB2312" w:hAnsi="仿宋_GB2312" w:cs="仿宋_GB2312" w:eastAsia="仿宋_GB2312"/>
        </w:rPr>
        <w:t>负责解释。除上述招标文件内容，其他内容由</w:t>
      </w:r>
      <w:r>
        <w:rPr>
          <w:rFonts w:ascii="仿宋_GB2312" w:hAnsi="仿宋_GB2312" w:cs="仿宋_GB2312" w:eastAsia="仿宋_GB2312"/>
        </w:rPr>
        <w:t>中天久信管理咨询集团有限公司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西安市奉正塬殡仪馆</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中天久信管理咨询集团有限公司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 xml:space="preserve"> 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二、投标人应认真阅读和充分理解招标文件中所有的事项、格式条款和规范要求。投标人没有对招标文件全面做出实质性响应所产生的风险由投标人承担。</w:t>
      </w:r>
    </w:p>
    <w:p>
      <w:pPr>
        <w:pStyle w:val="null3"/>
        <w:outlineLvl w:val="3"/>
      </w:pPr>
      <w:r>
        <w:rPr>
          <w:rFonts w:ascii="仿宋_GB2312" w:hAnsi="仿宋_GB2312" w:cs="仿宋_GB2312" w:eastAsia="仿宋_GB2312"/>
          <w:sz w:val="24"/>
          <w:b/>
        </w:rPr>
        <w:t xml:space="preserve"> 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 xml:space="preserve"> 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 xml:space="preserve"> 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 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签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 xml:space="preserve"> 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分钟；投标人应在规定的解密时间内，使用互认的证书及签章通过项目电子化采购系统进行投标文件解密。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分包供应商履行的分包项目的品牌、规格型号及技术要求等，必须与中标的品牌、规格型号及技术要求一致。</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pPr>
      <w:r>
        <w:rPr>
          <w:rFonts w:ascii="仿宋_GB2312" w:hAnsi="仿宋_GB2312" w:cs="仿宋_GB2312" w:eastAsia="仿宋_GB2312"/>
        </w:rPr>
        <w:t>采购包2：不允许合同分包。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一、严禁中标人将本项目转包。本项目所称转包，是指将本项目转给他人或者将本项目全部肢解以后以分包的名义分别转给他人的行为。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二、中标人转包的，视同拒绝履行政府采购合同，将依法追究法律责任。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以实际合同内容为准</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以实际合同内容为准</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对各投标人的商业秘密，评标委员会成员应予以保密，不得泄露给其他投标人。</w:t>
      </w:r>
    </w:p>
    <w:p>
      <w:pPr>
        <w:pStyle w:val="null3"/>
        <w:ind w:firstLine="480"/>
        <w:jc w:val="left"/>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 xml:space="preserve"> 2.7.2投标人不得具有的情形（实质性要求）</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投标人有上述情形的，按照规定追究法律责任，具备一至十一条情形之一的，其投标文件无效，或取消被确认为中标供应商的资格或认定中标无效。</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中天久信管理咨询集团有限公司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中天久信管理咨询集团有限公司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中天久信管理咨询集团有限公司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jc w:val="left"/>
      </w:pPr>
      <w:r>
        <w:rPr>
          <w:rFonts w:ascii="仿宋_GB2312" w:hAnsi="仿宋_GB2312" w:cs="仿宋_GB2312" w:eastAsia="仿宋_GB2312"/>
        </w:rPr>
        <w:t>（一）对可以质疑的采购文件提出质疑的，为收到采购文件之日或者采购文件公告期限届满之日</w:t>
      </w:r>
    </w:p>
    <w:p>
      <w:pPr>
        <w:pStyle w:val="null3"/>
        <w:jc w:val="left"/>
      </w:pPr>
      <w:r>
        <w:rPr>
          <w:rFonts w:ascii="仿宋_GB2312" w:hAnsi="仿宋_GB2312" w:cs="仿宋_GB2312" w:eastAsia="仿宋_GB2312"/>
        </w:rPr>
        <w:t>（二）对采购过程提出质疑的，为各采购程序环节结束之日；</w:t>
      </w:r>
    </w:p>
    <w:p>
      <w:pPr>
        <w:pStyle w:val="null3"/>
        <w:jc w:val="left"/>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（一）质疑书正本1份；（政府采购供应商质疑函范本详见附件一）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联系人：庞冰倩、屈琳妮</w:t>
      </w:r>
    </w:p>
    <w:p>
      <w:pPr>
        <w:pStyle w:val="null3"/>
      </w:pPr>
      <w:r>
        <w:rPr>
          <w:rFonts w:ascii="仿宋_GB2312" w:hAnsi="仿宋_GB2312" w:cs="仿宋_GB2312" w:eastAsia="仿宋_GB2312"/>
        </w:rPr>
        <w:t>联系电话：17392904755</w:t>
      </w:r>
    </w:p>
    <w:p>
      <w:pPr>
        <w:pStyle w:val="null3"/>
      </w:pPr>
      <w:r>
        <w:rPr>
          <w:rFonts w:ascii="仿宋_GB2312" w:hAnsi="仿宋_GB2312" w:cs="仿宋_GB2312" w:eastAsia="仿宋_GB2312"/>
        </w:rPr>
        <w:t>地址：西安市雁塔区高新区锦业路38号粤汉酒店F层</w:t>
      </w:r>
    </w:p>
    <w:p>
      <w:pPr>
        <w:pStyle w:val="null3"/>
      </w:pPr>
      <w:r>
        <w:rPr>
          <w:rFonts w:ascii="仿宋_GB2312" w:hAnsi="仿宋_GB2312" w:cs="仿宋_GB2312" w:eastAsia="仿宋_GB2312"/>
        </w:rPr>
        <w:t>邮编：710075</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当采购包的评标方法为综合评分法时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ind w:firstLine="480"/>
      </w:pPr>
      <w:r>
        <w:rPr>
          <w:rFonts w:ascii="仿宋_GB2312" w:hAnsi="仿宋_GB2312" w:cs="仿宋_GB2312" w:eastAsia="仿宋_GB2312"/>
        </w:rPr>
        <w:t xml:space="preserve"> （注：当采购包的评标方法为最低评标价法时带“★”的参数需求为实质性要求，供应商必须响应并满足的参数需求，采购人、采购代理机构应当根据项目实际需求合理设定，并明确具体要求。）</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 xml:space="preserve"> 公墓墓地用石材</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1,300,000.00</w:t>
      </w:r>
    </w:p>
    <w:p>
      <w:pPr>
        <w:pStyle w:val="null3"/>
      </w:pPr>
      <w:r>
        <w:rPr>
          <w:rFonts w:ascii="仿宋_GB2312" w:hAnsi="仿宋_GB2312" w:cs="仿宋_GB2312" w:eastAsia="仿宋_GB2312"/>
        </w:rPr>
        <w:t>采购包最高限价（元）: 1,300,000.00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公墓墓地用石材</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1,300,000.00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采购包预算金额（元）: 700,000.00</w:t>
      </w:r>
    </w:p>
    <w:p>
      <w:pPr>
        <w:pStyle w:val="null3"/>
      </w:pPr>
      <w:r>
        <w:rPr>
          <w:rFonts w:ascii="仿宋_GB2312" w:hAnsi="仿宋_GB2312" w:cs="仿宋_GB2312" w:eastAsia="仿宋_GB2312"/>
        </w:rPr>
        <w:t>采购包最高限价（元）: 700,000.00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公墓墓地用石材</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700,000.00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标的名称：公墓墓地用石材</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jc w:val="left"/>
            </w:pPr>
            <w:r>
              <w:rPr>
                <w:rFonts w:ascii="仿宋_GB2312" w:hAnsi="仿宋_GB2312" w:cs="仿宋_GB2312" w:eastAsia="仿宋_GB2312"/>
                <w:sz w:val="21"/>
              </w:rPr>
              <w:t>一、</w:t>
            </w:r>
            <w:r>
              <w:rPr>
                <w:rFonts w:ascii="仿宋_GB2312" w:hAnsi="仿宋_GB2312" w:cs="仿宋_GB2312" w:eastAsia="仿宋_GB2312"/>
                <w:sz w:val="24"/>
              </w:rPr>
              <w:t>技术要求</w:t>
            </w:r>
          </w:p>
          <w:p>
            <w:pPr>
              <w:pStyle w:val="null3"/>
              <w:jc w:val="left"/>
            </w:pPr>
            <w:r>
              <w:rPr>
                <w:rFonts w:ascii="仿宋_GB2312" w:hAnsi="仿宋_GB2312" w:cs="仿宋_GB2312" w:eastAsia="仿宋_GB2312"/>
                <w:sz w:val="24"/>
              </w:rPr>
              <w:t>1、根据不同品种与石材自身可达到的要求尽量减少色差，不符合要求的石材损失和运输途中产生破损的石材由投标方自行承担，要求所有石材的花纹和色差过渡色尽可能的调整到最佳状态。要求同一批石材的色调、花纹应该基本调和，优等品中不允许有外观缺陷。</w:t>
            </w:r>
          </w:p>
          <w:p>
            <w:pPr>
              <w:pStyle w:val="null3"/>
              <w:jc w:val="left"/>
            </w:pPr>
            <w:r>
              <w:rPr>
                <w:rFonts w:ascii="仿宋_GB2312" w:hAnsi="仿宋_GB2312" w:cs="仿宋_GB2312" w:eastAsia="仿宋_GB2312"/>
                <w:sz w:val="24"/>
              </w:rPr>
              <w:t>2、单镜面板材的正面应具有镜面光泽，能清晰地反映出景物。镜面板材光泽度值应不低于80 光泽位。</w:t>
            </w:r>
          </w:p>
          <w:p>
            <w:pPr>
              <w:pStyle w:val="null3"/>
              <w:jc w:val="left"/>
            </w:pPr>
            <w:r>
              <w:rPr>
                <w:rFonts w:ascii="仿宋_GB2312" w:hAnsi="仿宋_GB2312" w:cs="仿宋_GB2312" w:eastAsia="仿宋_GB2312"/>
                <w:sz w:val="24"/>
              </w:rPr>
              <w:t>3、保证所有石材在室外</w:t>
            </w:r>
            <w:r>
              <w:rPr>
                <w:rFonts w:ascii="仿宋_GB2312" w:hAnsi="仿宋_GB2312" w:cs="仿宋_GB2312" w:eastAsia="仿宋_GB2312"/>
                <w:sz w:val="24"/>
              </w:rPr>
              <w:t>2</w:t>
            </w:r>
            <w:r>
              <w:rPr>
                <w:rFonts w:ascii="仿宋_GB2312" w:hAnsi="仿宋_GB2312" w:cs="仿宋_GB2312" w:eastAsia="仿宋_GB2312"/>
                <w:sz w:val="24"/>
              </w:rPr>
              <w:t>0 年以上不变色，不褪色。</w:t>
            </w:r>
          </w:p>
          <w:p>
            <w:pPr>
              <w:pStyle w:val="null3"/>
              <w:jc w:val="left"/>
            </w:pPr>
            <w:r>
              <w:rPr>
                <w:rFonts w:ascii="仿宋_GB2312" w:hAnsi="仿宋_GB2312" w:cs="仿宋_GB2312" w:eastAsia="仿宋_GB2312"/>
                <w:sz w:val="24"/>
              </w:rPr>
              <w:t>4、必须提供积密度、吸水率、干燥压缩强度、弯曲强度4 项检测报告，以确保石材物理性能良好。</w:t>
            </w:r>
          </w:p>
          <w:p>
            <w:pPr>
              <w:pStyle w:val="null3"/>
              <w:jc w:val="left"/>
            </w:pPr>
            <w:r>
              <w:rPr>
                <w:rFonts w:ascii="仿宋_GB2312" w:hAnsi="仿宋_GB2312" w:cs="仿宋_GB2312" w:eastAsia="仿宋_GB2312"/>
                <w:sz w:val="24"/>
              </w:rPr>
              <w:t>5、严格按照所提供的尺寸标准制作石材板材，保证所有石材的尺寸和图案制作无误。</w:t>
            </w:r>
          </w:p>
          <w:p>
            <w:pPr>
              <w:pStyle w:val="null3"/>
              <w:jc w:val="both"/>
            </w:pPr>
            <w:r>
              <w:rPr>
                <w:rFonts w:ascii="仿宋_GB2312" w:hAnsi="仿宋_GB2312" w:cs="仿宋_GB2312" w:eastAsia="仿宋_GB2312"/>
                <w:sz w:val="24"/>
              </w:rPr>
              <w:t>6、运输中确保包装箱体的完好无损，如出现损坏招标方有权不接受货物。</w:t>
            </w:r>
          </w:p>
          <w:p>
            <w:pPr>
              <w:pStyle w:val="null3"/>
              <w:jc w:val="both"/>
            </w:pPr>
            <w:r>
              <w:rPr>
                <w:rFonts w:ascii="仿宋_GB2312" w:hAnsi="仿宋_GB2312" w:cs="仿宋_GB2312" w:eastAsia="仿宋_GB2312"/>
                <w:sz w:val="24"/>
              </w:rPr>
              <w:t>二、采购清单</w:t>
            </w:r>
          </w:p>
          <w:tbl>
            <w:tblPr>
              <w:tblBorders>
                <w:top w:val="none" w:color="000000" w:sz="4"/>
                <w:left w:val="none" w:color="000000" w:sz="4"/>
                <w:bottom w:val="none" w:color="000000" w:sz="4"/>
                <w:right w:val="none" w:color="000000" w:sz="4"/>
                <w:insideH w:val="none"/>
                <w:insideV w:val="none"/>
              </w:tblBorders>
            </w:tblPr>
            <w:tblGrid>
              <w:gridCol w:w="578"/>
              <w:gridCol w:w="375"/>
              <w:gridCol w:w="393"/>
              <w:gridCol w:w="203"/>
              <w:gridCol w:w="203"/>
              <w:gridCol w:w="393"/>
              <w:gridCol w:w="393"/>
            </w:tblGrid>
            <w:tr>
              <w:tc>
                <w:tcPr>
                  <w:tcW w:type="dxa" w:w="578"/>
                  <w:vMerge w:val="restart"/>
                  <w:tcBorders>
                    <w:top w:val="singl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名称</w:t>
                  </w:r>
                </w:p>
              </w:tc>
              <w:tc>
                <w:tcPr>
                  <w:tcW w:type="dxa" w:w="375"/>
                  <w:vMerge w:val="restart"/>
                  <w:tcBorders>
                    <w:top w:val="singl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材质</w:t>
                  </w:r>
                </w:p>
              </w:tc>
              <w:tc>
                <w:tcPr>
                  <w:tcW w:type="dxa" w:w="799"/>
                  <w:gridSpan w:val="3"/>
                  <w:tcBorders>
                    <w:top w:val="singl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规格</w:t>
                  </w:r>
                  <w:r>
                    <w:rPr>
                      <w:rFonts w:ascii="仿宋_GB2312" w:hAnsi="仿宋_GB2312" w:cs="仿宋_GB2312" w:eastAsia="仿宋_GB2312"/>
                      <w:sz w:val="21"/>
                      <w:color w:val="000000"/>
                    </w:rPr>
                    <w:t>/</w:t>
                  </w:r>
                  <w:r>
                    <w:rPr>
                      <w:rFonts w:ascii="仿宋_GB2312" w:hAnsi="仿宋_GB2312" w:cs="仿宋_GB2312" w:eastAsia="仿宋_GB2312"/>
                      <w:sz w:val="21"/>
                      <w:color w:val="000000"/>
                    </w:rPr>
                    <w:t>m</w:t>
                  </w:r>
                  <w:r>
                    <w:rPr>
                      <w:rFonts w:ascii="仿宋_GB2312" w:hAnsi="仿宋_GB2312" w:cs="仿宋_GB2312" w:eastAsia="仿宋_GB2312"/>
                      <w:sz w:val="21"/>
                      <w:color w:val="000000"/>
                    </w:rPr>
                    <w:t>m</w:t>
                  </w:r>
                </w:p>
              </w:tc>
              <w:tc>
                <w:tcPr>
                  <w:tcW w:type="dxa" w:w="393"/>
                  <w:vMerge w:val="restart"/>
                  <w:tcBorders>
                    <w:top w:val="singl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备注</w:t>
                  </w:r>
                </w:p>
              </w:tc>
              <w:tc>
                <w:tcPr>
                  <w:tcW w:type="dxa" w:w="393"/>
                  <w:vMerge w:val="restart"/>
                  <w:tcBorders>
                    <w:top w:val="singl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最高限价</w:t>
                  </w:r>
                </w:p>
                <w:p>
                  <w:pPr>
                    <w:pStyle w:val="null3"/>
                    <w:jc w:val="center"/>
                  </w:pPr>
                  <w:r>
                    <w:rPr>
                      <w:rFonts w:ascii="仿宋_GB2312" w:hAnsi="仿宋_GB2312" w:cs="仿宋_GB2312" w:eastAsia="仿宋_GB2312"/>
                      <w:sz w:val="21"/>
                      <w:color w:val="000000"/>
                    </w:rPr>
                    <w:t>单价（元）</w:t>
                  </w:r>
                </w:p>
              </w:tc>
            </w:tr>
            <w:tr>
              <w:tc>
                <w:tcPr>
                  <w:tcW w:type="dxa" w:w="578"/>
                  <w:vMerge/>
                  <w:tcBorders>
                    <w:top w:val="single" w:color="000000" w:sz="4"/>
                    <w:left w:val="single" w:color="000000" w:sz="4"/>
                    <w:bottom w:val="single" w:color="000000" w:sz="4"/>
                    <w:right w:val="single" w:color="000000" w:sz="4"/>
                  </w:tcBorders>
                </w:tcPr>
                <w:p/>
              </w:tc>
              <w:tc>
                <w:tcPr>
                  <w:tcW w:type="dxa" w:w="375"/>
                  <w:vMerge/>
                  <w:tcBorders>
                    <w:top w:val="single" w:color="000000" w:sz="4"/>
                    <w:left w:val="single" w:color="000000" w:sz="4"/>
                    <w:bottom w:val="single" w:color="000000" w:sz="4"/>
                    <w:right w:val="single" w:color="000000" w:sz="4"/>
                  </w:tcBorders>
                </w:tcP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长</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宽</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高</w:t>
                  </w:r>
                </w:p>
              </w:tc>
              <w:tc>
                <w:tcPr>
                  <w:tcW w:type="dxa" w:w="393"/>
                  <w:vMerge/>
                  <w:tcBorders>
                    <w:top w:val="single" w:color="000000" w:sz="4"/>
                    <w:left w:val="single" w:color="000000" w:sz="4"/>
                    <w:bottom w:val="single" w:color="000000" w:sz="4"/>
                    <w:right w:val="single" w:color="000000" w:sz="4"/>
                  </w:tcBorders>
                </w:tcPr>
                <w:p/>
              </w:tc>
              <w:tc>
                <w:tcPr>
                  <w:tcW w:type="dxa" w:w="393"/>
                  <w:vMerge/>
                  <w:tcBorders>
                    <w:top w:val="single" w:color="000000" w:sz="4"/>
                    <w:left w:val="single" w:color="000000" w:sz="4"/>
                    <w:bottom w:val="single" w:color="000000" w:sz="4"/>
                    <w:right w:val="single" w:color="000000" w:sz="4"/>
                  </w:tcBorders>
                </w:tcP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w:t>
                  </w:r>
                  <w:r>
                    <w:rPr>
                      <w:rFonts w:ascii="仿宋_GB2312" w:hAnsi="仿宋_GB2312" w:cs="仿宋_GB2312" w:eastAsia="仿宋_GB2312"/>
                      <w:sz w:val="21"/>
                      <w:color w:val="000000"/>
                    </w:rPr>
                    <w:t>一</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w:t>
                  </w:r>
                  <w:r>
                    <w:rPr>
                      <w:rFonts w:ascii="仿宋_GB2312" w:hAnsi="仿宋_GB2312" w:cs="仿宋_GB2312" w:eastAsia="仿宋_GB2312"/>
                      <w:sz w:val="21"/>
                      <w:color w:val="000000"/>
                    </w:rPr>
                    <w:t>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90</w:t>
                  </w:r>
                  <w:r>
                    <w:rPr>
                      <w:rFonts w:ascii="仿宋_GB2312" w:hAnsi="仿宋_GB2312" w:cs="仿宋_GB2312" w:eastAsia="仿宋_GB2312"/>
                      <w:sz w:val="21"/>
                      <w:color w:val="000000"/>
                    </w:rPr>
                    <w:t>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80</w:t>
                  </w:r>
                  <w:r>
                    <w:rPr>
                      <w:rFonts w:ascii="仿宋_GB2312" w:hAnsi="仿宋_GB2312" w:cs="仿宋_GB2312" w:eastAsia="仿宋_GB2312"/>
                      <w:sz w:val="21"/>
                      <w:color w:val="000000"/>
                    </w:rPr>
                    <w:t>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800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雕刻图案</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4150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w:t>
                  </w:r>
                  <w:r>
                    <w:rPr>
                      <w:rFonts w:ascii="仿宋_GB2312" w:hAnsi="仿宋_GB2312" w:cs="仿宋_GB2312" w:eastAsia="仿宋_GB2312"/>
                      <w:sz w:val="21"/>
                      <w:color w:val="000000"/>
                    </w:rPr>
                    <w:t>二</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980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800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250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雕刻图案</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3800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w:t>
                  </w:r>
                  <w:r>
                    <w:rPr>
                      <w:rFonts w:ascii="仿宋_GB2312" w:hAnsi="仿宋_GB2312" w:cs="仿宋_GB2312" w:eastAsia="仿宋_GB2312"/>
                      <w:sz w:val="21"/>
                      <w:color w:val="000000"/>
                    </w:rPr>
                    <w:t>三</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980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800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380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雕刻图案</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4100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w:t>
                  </w:r>
                  <w:r>
                    <w:rPr>
                      <w:rFonts w:ascii="仿宋_GB2312" w:hAnsi="仿宋_GB2312" w:cs="仿宋_GB2312" w:eastAsia="仿宋_GB2312"/>
                      <w:sz w:val="21"/>
                      <w:color w:val="000000"/>
                    </w:rPr>
                    <w:t>四</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720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600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780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造型设计</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3710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款式五</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720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600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780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造型设计</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3280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款式六</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780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520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140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造型设计</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1430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款式七</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420/300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340/300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石材板材</w:t>
                  </w:r>
                </w:p>
                <w:p>
                  <w:pPr>
                    <w:pStyle w:val="null3"/>
                    <w:jc w:val="center"/>
                  </w:pPr>
                  <w:r>
                    <w:rPr>
                      <w:rFonts w:ascii="仿宋_GB2312" w:hAnsi="仿宋_GB2312" w:cs="仿宋_GB2312" w:eastAsia="仿宋_GB2312"/>
                      <w:sz w:val="21"/>
                      <w:color w:val="000000"/>
                    </w:rPr>
                    <w:t>6块为一套</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215</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款式八</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500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420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30/80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艺术墓碑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2350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款式九</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750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650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70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艺术墓碑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2000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款式十</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800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540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200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造型设计</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3800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款式十一</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840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345</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板材一面光</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220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款式十二</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452</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342</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20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板材一面光</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110</w:t>
                  </w:r>
                </w:p>
              </w:tc>
            </w:tr>
            <w:tr>
              <w:tc>
                <w:tcPr>
                  <w:tcW w:type="dxa" w:w="578"/>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款式十三</w:t>
                  </w:r>
                </w:p>
              </w:tc>
              <w:tc>
                <w:tcPr>
                  <w:tcW w:type="dxa" w:w="375"/>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山西黑</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600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600</w:t>
                  </w:r>
                </w:p>
              </w:tc>
              <w:tc>
                <w:tcPr>
                  <w:tcW w:type="dxa" w:w="20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50</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板材全面光</w:t>
                  </w:r>
                </w:p>
              </w:tc>
              <w:tc>
                <w:tcPr>
                  <w:tcW w:type="dxa" w:w="39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rFonts w:ascii="仿宋_GB2312" w:hAnsi="仿宋_GB2312" w:cs="仿宋_GB2312" w:eastAsia="仿宋_GB2312"/>
                      <w:sz w:val="21"/>
                      <w:color w:val="000000"/>
                    </w:rPr>
                    <w:t>1000</w:t>
                  </w:r>
                </w:p>
              </w:tc>
            </w:tr>
          </w:tbl>
          <w:p>
            <w:pPr>
              <w:pStyle w:val="null3"/>
            </w:pPr>
            <w:r>
              <w:rPr>
                <w:rFonts w:ascii="仿宋_GB2312" w:hAnsi="仿宋_GB2312" w:cs="仿宋_GB2312" w:eastAsia="仿宋_GB2312"/>
              </w:rPr>
              <w:t xml:space="preserve"> </w:t>
            </w:r>
          </w:p>
          <w:p>
            <w:pPr>
              <w:pStyle w:val="null3"/>
              <w:jc w:val="both"/>
            </w:pPr>
            <w:r>
              <w:rPr>
                <w:rFonts w:ascii="仿宋_GB2312" w:hAnsi="仿宋_GB2312" w:cs="仿宋_GB2312" w:eastAsia="仿宋_GB2312"/>
                <w:sz w:val="24"/>
              </w:rPr>
              <w:t>三、参考图片</w:t>
            </w:r>
          </w:p>
          <w:p>
            <w:pPr>
              <w:pStyle w:val="null3"/>
              <w:jc w:val="both"/>
            </w:pPr>
            <w:r>
              <w:rPr>
                <w:rFonts w:ascii="仿宋_GB2312" w:hAnsi="仿宋_GB2312" w:cs="仿宋_GB2312" w:eastAsia="仿宋_GB2312"/>
                <w:sz w:val="24"/>
                <w:b/>
              </w:rPr>
              <w:t>款式一</w:t>
            </w:r>
          </w:p>
          <w:p>
            <w:pPr>
              <w:pStyle w:val="null3"/>
              <w:jc w:val="both"/>
            </w:pPr>
            <w:r>
              <w:drawing>
                <wp:inline distT="0" distR="0" distB="0" distL="0">
                  <wp:extent cx="1621155" cy="976885"/>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976885"/>
                          </a:xfrm>
                          <a:prstGeom prst="rect">
                            <a:avLst/>
                          </a:prstGeom>
                        </pic:spPr>
                      </pic:pic>
                    </a:graphicData>
                  </a:graphic>
                </wp:inline>
              </w:drawing>
            </w:r>
          </w:p>
          <w:p>
            <w:pPr>
              <w:pStyle w:val="null3"/>
              <w:jc w:val="both"/>
            </w:pPr>
            <w:r>
              <w:rPr>
                <w:rFonts w:ascii="仿宋_GB2312" w:hAnsi="仿宋_GB2312" w:cs="仿宋_GB2312" w:eastAsia="仿宋_GB2312"/>
                <w:sz w:val="24"/>
                <w:b/>
              </w:rPr>
              <w:t>款式二</w:t>
            </w:r>
          </w:p>
          <w:p>
            <w:pPr>
              <w:pStyle w:val="null3"/>
              <w:jc w:val="both"/>
            </w:pPr>
            <w:r>
              <w:drawing>
                <wp:inline distT="0" distR="0" distB="0" distL="0">
                  <wp:extent cx="1621155" cy="2175188"/>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2175188"/>
                          </a:xfrm>
                          <a:prstGeom prst="rect">
                            <a:avLst/>
                          </a:prstGeom>
                        </pic:spPr>
                      </pic:pic>
                    </a:graphicData>
                  </a:graphic>
                </wp:inline>
              </w:drawing>
            </w:r>
          </w:p>
          <w:p>
            <w:pPr>
              <w:pStyle w:val="null3"/>
              <w:jc w:val="both"/>
            </w:pPr>
            <w:r>
              <w:rPr>
                <w:rFonts w:ascii="仿宋_GB2312" w:hAnsi="仿宋_GB2312" w:cs="仿宋_GB2312" w:eastAsia="仿宋_GB2312"/>
                <w:sz w:val="24"/>
                <w:b/>
              </w:rPr>
              <w:t>款式三</w:t>
            </w:r>
          </w:p>
          <w:p>
            <w:pPr>
              <w:pStyle w:val="null3"/>
              <w:jc w:val="both"/>
            </w:pPr>
            <w:r>
              <w:drawing>
                <wp:inline distT="0" distR="0" distB="0" distL="0">
                  <wp:extent cx="1621155" cy="2310817"/>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2310817"/>
                          </a:xfrm>
                          <a:prstGeom prst="rect">
                            <a:avLst/>
                          </a:prstGeom>
                        </pic:spPr>
                      </pic:pic>
                    </a:graphicData>
                  </a:graphic>
                </wp:inline>
              </w:drawing>
            </w:r>
          </w:p>
          <w:p>
            <w:pPr>
              <w:pStyle w:val="null3"/>
              <w:jc w:val="both"/>
            </w:pPr>
            <w:r>
              <w:rPr>
                <w:rFonts w:ascii="仿宋_GB2312" w:hAnsi="仿宋_GB2312" w:cs="仿宋_GB2312" w:eastAsia="仿宋_GB2312"/>
                <w:sz w:val="24"/>
                <w:b/>
              </w:rPr>
              <w:t>款式四</w:t>
            </w:r>
          </w:p>
          <w:p>
            <w:pPr>
              <w:pStyle w:val="null3"/>
              <w:jc w:val="both"/>
            </w:pPr>
            <w:r>
              <w:drawing>
                <wp:inline distT="0" distR="0" distB="0" distL="0">
                  <wp:extent cx="1621155" cy="1221188"/>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1221188"/>
                          </a:xfrm>
                          <a:prstGeom prst="rect">
                            <a:avLst/>
                          </a:prstGeom>
                        </pic:spPr>
                      </pic:pic>
                    </a:graphicData>
                  </a:graphic>
                </wp:inline>
              </w:drawing>
            </w:r>
          </w:p>
          <w:p>
            <w:pPr>
              <w:pStyle w:val="null3"/>
              <w:jc w:val="both"/>
            </w:pPr>
            <w:r>
              <w:rPr>
                <w:rFonts w:ascii="仿宋_GB2312" w:hAnsi="仿宋_GB2312" w:cs="仿宋_GB2312" w:eastAsia="仿宋_GB2312"/>
                <w:sz w:val="24"/>
                <w:b/>
              </w:rPr>
              <w:t>款式五</w:t>
            </w:r>
          </w:p>
          <w:p>
            <w:pPr>
              <w:pStyle w:val="null3"/>
              <w:jc w:val="both"/>
            </w:pPr>
            <w:r>
              <w:drawing>
                <wp:inline distT="0" distR="0" distB="0" distL="0">
                  <wp:extent cx="1621155" cy="1300501"/>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621155" cy="1300501"/>
                          </a:xfrm>
                          <a:prstGeom prst="rect">
                            <a:avLst/>
                          </a:prstGeom>
                        </pic:spPr>
                      </pic:pic>
                    </a:graphicData>
                  </a:graphic>
                </wp:inline>
              </w:drawing>
            </w:r>
          </w:p>
          <w:p>
            <w:pPr>
              <w:pStyle w:val="null3"/>
              <w:jc w:val="both"/>
            </w:pPr>
            <w:r>
              <w:rPr>
                <w:rFonts w:ascii="仿宋_GB2312" w:hAnsi="仿宋_GB2312" w:cs="仿宋_GB2312" w:eastAsia="仿宋_GB2312"/>
                <w:sz w:val="24"/>
                <w:b/>
              </w:rPr>
              <w:t>款式六</w:t>
            </w:r>
          </w:p>
          <w:p>
            <w:pPr>
              <w:pStyle w:val="null3"/>
              <w:jc w:val="both"/>
            </w:pPr>
            <w:r>
              <w:drawing>
                <wp:inline distT="0" distR="0" distB="0" distL="0">
                  <wp:extent cx="1621155" cy="1116540"/>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621155" cy="1116540"/>
                          </a:xfrm>
                          <a:prstGeom prst="rect">
                            <a:avLst/>
                          </a:prstGeom>
                        </pic:spPr>
                      </pic:pic>
                    </a:graphicData>
                  </a:graphic>
                </wp:inline>
              </w:drawing>
            </w:r>
          </w:p>
          <w:p>
            <w:pPr>
              <w:pStyle w:val="null3"/>
              <w:jc w:val="both"/>
            </w:pPr>
            <w:r>
              <w:rPr>
                <w:rFonts w:ascii="仿宋_GB2312" w:hAnsi="仿宋_GB2312" w:cs="仿宋_GB2312" w:eastAsia="仿宋_GB2312"/>
                <w:sz w:val="24"/>
                <w:b/>
              </w:rPr>
              <w:t>款式七</w:t>
            </w:r>
          </w:p>
          <w:p>
            <w:pPr>
              <w:pStyle w:val="null3"/>
              <w:jc w:val="both"/>
            </w:pPr>
            <w:r>
              <w:drawing>
                <wp:inline distT="0" distR="0" distB="0" distL="0">
                  <wp:extent cx="1621155" cy="1316628"/>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621155" cy="1316628"/>
                          </a:xfrm>
                          <a:prstGeom prst="rect">
                            <a:avLst/>
                          </a:prstGeom>
                        </pic:spPr>
                      </pic:pic>
                    </a:graphicData>
                  </a:graphic>
                </wp:inline>
              </w:drawing>
            </w:r>
          </w:p>
          <w:p>
            <w:pPr>
              <w:pStyle w:val="null3"/>
              <w:jc w:val="both"/>
            </w:pPr>
            <w:r>
              <w:rPr>
                <w:rFonts w:ascii="仿宋_GB2312" w:hAnsi="仿宋_GB2312" w:cs="仿宋_GB2312" w:eastAsia="仿宋_GB2312"/>
                <w:sz w:val="24"/>
                <w:b/>
              </w:rPr>
              <w:t>款式八</w:t>
            </w:r>
          </w:p>
          <w:p>
            <w:pPr>
              <w:pStyle w:val="null3"/>
              <w:jc w:val="both"/>
            </w:pPr>
            <w:r>
              <w:drawing>
                <wp:inline distT="0" distR="0" distB="0" distL="0">
                  <wp:extent cx="1621155" cy="1097830"/>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621155" cy="1097830"/>
                          </a:xfrm>
                          <a:prstGeom prst="rect">
                            <a:avLst/>
                          </a:prstGeom>
                        </pic:spPr>
                      </pic:pic>
                    </a:graphicData>
                  </a:graphic>
                </wp:inline>
              </w:drawing>
            </w:r>
          </w:p>
          <w:p>
            <w:pPr>
              <w:pStyle w:val="null3"/>
              <w:jc w:val="both"/>
            </w:pPr>
            <w:r>
              <w:rPr>
                <w:rFonts w:ascii="仿宋_GB2312" w:hAnsi="仿宋_GB2312" w:cs="仿宋_GB2312" w:eastAsia="仿宋_GB2312"/>
                <w:sz w:val="24"/>
                <w:b/>
              </w:rPr>
              <w:t>款式九</w:t>
            </w:r>
          </w:p>
          <w:p>
            <w:pPr>
              <w:pStyle w:val="null3"/>
              <w:jc w:val="both"/>
            </w:pPr>
            <w:r>
              <w:drawing>
                <wp:inline distT="0" distR="0" distB="0" distL="0">
                  <wp:extent cx="1621155" cy="1292577"/>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1621155" cy="1292577"/>
                          </a:xfrm>
                          <a:prstGeom prst="rect">
                            <a:avLst/>
                          </a:prstGeom>
                        </pic:spPr>
                      </pic:pic>
                    </a:graphicData>
                  </a:graphic>
                </wp:inline>
              </w:drawing>
            </w:r>
          </w:p>
          <w:p>
            <w:pPr>
              <w:pStyle w:val="null3"/>
              <w:jc w:val="both"/>
            </w:pPr>
            <w:r>
              <w:rPr>
                <w:rFonts w:ascii="仿宋_GB2312" w:hAnsi="仿宋_GB2312" w:cs="仿宋_GB2312" w:eastAsia="仿宋_GB2312"/>
                <w:sz w:val="24"/>
                <w:b/>
              </w:rPr>
              <w:t>款式十</w:t>
            </w:r>
          </w:p>
          <w:p>
            <w:pPr>
              <w:pStyle w:val="null3"/>
              <w:jc w:val="both"/>
            </w:pPr>
            <w:r>
              <w:drawing>
                <wp:inline distT="0" distR="0" distB="0" distL="0">
                  <wp:extent cx="1621155" cy="1435916"/>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1621155" cy="1435916"/>
                          </a:xfrm>
                          <a:prstGeom prst="rect">
                            <a:avLst/>
                          </a:prstGeom>
                        </pic:spPr>
                      </pic:pic>
                    </a:graphicData>
                  </a:graphic>
                </wp:inline>
              </w:drawing>
            </w:r>
          </w:p>
          <w:p>
            <w:pPr>
              <w:pStyle w:val="null3"/>
              <w:jc w:val="both"/>
            </w:pPr>
            <w:r>
              <w:rPr>
                <w:rFonts w:ascii="仿宋_GB2312" w:hAnsi="仿宋_GB2312" w:cs="仿宋_GB2312" w:eastAsia="仿宋_GB2312"/>
                <w:sz w:val="24"/>
                <w:b/>
              </w:rPr>
              <w:t>款式十一</w:t>
            </w:r>
          </w:p>
          <w:p>
            <w:pPr>
              <w:pStyle w:val="null3"/>
              <w:jc w:val="both"/>
            </w:pPr>
            <w:r>
              <w:drawing>
                <wp:inline distT="0" distR="0" distB="0" distL="0">
                  <wp:extent cx="1621155" cy="912897"/>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1621155" cy="912897"/>
                          </a:xfrm>
                          <a:prstGeom prst="rect">
                            <a:avLst/>
                          </a:prstGeom>
                        </pic:spPr>
                      </pic:pic>
                    </a:graphicData>
                  </a:graphic>
                </wp:inline>
              </w:drawing>
            </w:r>
          </w:p>
          <w:p>
            <w:pPr>
              <w:pStyle w:val="null3"/>
              <w:jc w:val="both"/>
            </w:pPr>
            <w:r>
              <w:rPr>
                <w:rFonts w:ascii="仿宋_GB2312" w:hAnsi="仿宋_GB2312" w:cs="仿宋_GB2312" w:eastAsia="仿宋_GB2312"/>
                <w:sz w:val="24"/>
                <w:b/>
              </w:rPr>
              <w:t>款式十二</w:t>
            </w:r>
          </w:p>
          <w:p>
            <w:pPr>
              <w:pStyle w:val="null3"/>
              <w:jc w:val="both"/>
            </w:pPr>
            <w:r>
              <w:drawing>
                <wp:inline distT="0" distR="0" distB="0" distL="0">
                  <wp:extent cx="1621155" cy="1069761"/>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1621155" cy="1069761"/>
                          </a:xfrm>
                          <a:prstGeom prst="rect">
                            <a:avLst/>
                          </a:prstGeom>
                        </pic:spPr>
                      </pic:pic>
                    </a:graphicData>
                  </a:graphic>
                </wp:inline>
              </w:drawing>
            </w:r>
          </w:p>
          <w:p>
            <w:pPr>
              <w:pStyle w:val="null3"/>
              <w:jc w:val="both"/>
            </w:pPr>
            <w:r>
              <w:rPr>
                <w:rFonts w:ascii="仿宋_GB2312" w:hAnsi="仿宋_GB2312" w:cs="仿宋_GB2312" w:eastAsia="仿宋_GB2312"/>
                <w:sz w:val="24"/>
                <w:b/>
              </w:rPr>
              <w:t>款式十三</w:t>
            </w:r>
          </w:p>
          <w:p>
            <w:pPr>
              <w:pStyle w:val="null3"/>
              <w:jc w:val="both"/>
            </w:pPr>
            <w:r>
              <w:drawing>
                <wp:inline distT="0" distR="0" distB="0" distL="0">
                  <wp:extent cx="1621155" cy="1076087"/>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1621155" cy="1076087"/>
                          </a:xfrm>
                          <a:prstGeom prst="rect">
                            <a:avLst/>
                          </a:prstGeom>
                        </pic:spPr>
                      </pic:pic>
                    </a:graphicData>
                  </a:graphic>
                </wp:inline>
              </w:drawing>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标的名称：公墓墓地用石材</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jc w:val="left"/>
            </w:pPr>
            <w:r>
              <w:rPr>
                <w:rFonts w:ascii="仿宋_GB2312" w:hAnsi="仿宋_GB2312" w:cs="仿宋_GB2312" w:eastAsia="仿宋_GB2312"/>
                <w:sz w:val="24"/>
              </w:rPr>
              <w:t>一、技术要求</w:t>
            </w:r>
          </w:p>
          <w:p>
            <w:pPr>
              <w:pStyle w:val="null3"/>
              <w:jc w:val="left"/>
            </w:pPr>
            <w:r>
              <w:rPr>
                <w:rFonts w:ascii="仿宋_GB2312" w:hAnsi="仿宋_GB2312" w:cs="仿宋_GB2312" w:eastAsia="仿宋_GB2312"/>
                <w:sz w:val="24"/>
              </w:rPr>
              <w:t>1、根据不同品种与石材自身可达到的要求尽量减少色差，不符合要求的石材损失和运输途中产生破损的石材由投标方自行承担，要求所有石材的花纹和色差过渡色尽可能的调整到最佳状态。要求同一批石材的色调、花纹应该基本调和，优等品中不允许有外观缺陷。</w:t>
            </w:r>
          </w:p>
          <w:p>
            <w:pPr>
              <w:pStyle w:val="null3"/>
              <w:jc w:val="left"/>
            </w:pPr>
            <w:r>
              <w:rPr>
                <w:rFonts w:ascii="仿宋_GB2312" w:hAnsi="仿宋_GB2312" w:cs="仿宋_GB2312" w:eastAsia="仿宋_GB2312"/>
                <w:sz w:val="24"/>
              </w:rPr>
              <w:t>2、单镜面板材的正面应具有镜面光泽，能清晰地反映出景物。镜面板材光泽度值应不低于80 光泽位。</w:t>
            </w:r>
          </w:p>
          <w:p>
            <w:pPr>
              <w:pStyle w:val="null3"/>
              <w:jc w:val="left"/>
            </w:pPr>
            <w:r>
              <w:rPr>
                <w:rFonts w:ascii="仿宋_GB2312" w:hAnsi="仿宋_GB2312" w:cs="仿宋_GB2312" w:eastAsia="仿宋_GB2312"/>
                <w:sz w:val="24"/>
              </w:rPr>
              <w:t>3、保证所有石材在室外</w:t>
            </w:r>
            <w:r>
              <w:rPr>
                <w:rFonts w:ascii="仿宋_GB2312" w:hAnsi="仿宋_GB2312" w:cs="仿宋_GB2312" w:eastAsia="仿宋_GB2312"/>
                <w:sz w:val="24"/>
              </w:rPr>
              <w:t>2</w:t>
            </w:r>
            <w:r>
              <w:rPr>
                <w:rFonts w:ascii="仿宋_GB2312" w:hAnsi="仿宋_GB2312" w:cs="仿宋_GB2312" w:eastAsia="仿宋_GB2312"/>
                <w:sz w:val="24"/>
              </w:rPr>
              <w:t>0 年以上不变色，不褪色。</w:t>
            </w:r>
          </w:p>
          <w:p>
            <w:pPr>
              <w:pStyle w:val="null3"/>
              <w:jc w:val="left"/>
            </w:pPr>
            <w:r>
              <w:rPr>
                <w:rFonts w:ascii="仿宋_GB2312" w:hAnsi="仿宋_GB2312" w:cs="仿宋_GB2312" w:eastAsia="仿宋_GB2312"/>
                <w:sz w:val="24"/>
              </w:rPr>
              <w:t>4、必须提供积密度、吸水率、干燥压缩强度、弯曲强度4 项检测报告，以确保石材物理性能良好。</w:t>
            </w:r>
          </w:p>
          <w:p>
            <w:pPr>
              <w:pStyle w:val="null3"/>
              <w:jc w:val="left"/>
            </w:pPr>
            <w:r>
              <w:rPr>
                <w:rFonts w:ascii="仿宋_GB2312" w:hAnsi="仿宋_GB2312" w:cs="仿宋_GB2312" w:eastAsia="仿宋_GB2312"/>
                <w:sz w:val="24"/>
              </w:rPr>
              <w:t>5、严格按照所提供的尺寸标准制作石材板材，保证所有石材的尺寸和图案制作无误。</w:t>
            </w:r>
          </w:p>
          <w:p>
            <w:pPr>
              <w:pStyle w:val="null3"/>
              <w:jc w:val="both"/>
            </w:pPr>
            <w:r>
              <w:rPr>
                <w:rFonts w:ascii="仿宋_GB2312" w:hAnsi="仿宋_GB2312" w:cs="仿宋_GB2312" w:eastAsia="仿宋_GB2312"/>
                <w:sz w:val="24"/>
              </w:rPr>
              <w:t>6、运输中确保包装箱体的完好无损，如出现损坏招标方有权不接受货物。</w:t>
            </w:r>
          </w:p>
          <w:p>
            <w:pPr>
              <w:pStyle w:val="null3"/>
              <w:jc w:val="both"/>
            </w:pPr>
            <w:r>
              <w:rPr>
                <w:rFonts w:ascii="仿宋_GB2312" w:hAnsi="仿宋_GB2312" w:cs="仿宋_GB2312" w:eastAsia="仿宋_GB2312"/>
                <w:sz w:val="24"/>
              </w:rPr>
              <w:t>二、采购清单</w:t>
            </w:r>
          </w:p>
          <w:tbl>
            <w:tblPr>
              <w:tblBorders>
                <w:top w:val="none" w:color="000000" w:sz="4"/>
                <w:left w:val="none" w:color="000000" w:sz="4"/>
                <w:bottom w:val="none" w:color="000000" w:sz="4"/>
                <w:right w:val="none" w:color="000000" w:sz="4"/>
                <w:insideH w:val="none"/>
                <w:insideV w:val="none"/>
              </w:tblBorders>
            </w:tblPr>
            <w:tblGrid>
              <w:gridCol w:w="268"/>
              <w:gridCol w:w="413"/>
              <w:gridCol w:w="254"/>
              <w:gridCol w:w="277"/>
              <w:gridCol w:w="299"/>
              <w:gridCol w:w="521"/>
              <w:gridCol w:w="521"/>
            </w:tblGrid>
            <w:tr>
              <w:tc>
                <w:tcPr>
                  <w:tcW w:type="dxa" w:w="26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名称</w:t>
                  </w:r>
                </w:p>
              </w:tc>
              <w:tc>
                <w:tcPr>
                  <w:tcW w:type="dxa" w:w="41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材质</w:t>
                  </w:r>
                </w:p>
              </w:tc>
              <w:tc>
                <w:tcPr>
                  <w:tcW w:type="dxa" w:w="25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长（㎜）</w:t>
                  </w:r>
                </w:p>
              </w:tc>
              <w:tc>
                <w:tcPr>
                  <w:tcW w:type="dxa" w:w="27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宽（㎜）</w:t>
                  </w:r>
                </w:p>
              </w:tc>
              <w:tc>
                <w:tcPr>
                  <w:tcW w:type="dxa" w:w="29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高（㎜）</w:t>
                  </w:r>
                </w:p>
              </w:tc>
              <w:tc>
                <w:tcPr>
                  <w:tcW w:type="dxa" w:w="52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备注</w:t>
                  </w:r>
                </w:p>
              </w:tc>
              <w:tc>
                <w:tcPr>
                  <w:tcW w:type="dxa" w:w="52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最高限价</w:t>
                  </w:r>
                </w:p>
                <w:p>
                  <w:pPr>
                    <w:pStyle w:val="null3"/>
                    <w:jc w:val="center"/>
                  </w:pPr>
                  <w:r>
                    <w:rPr>
                      <w:rFonts w:ascii="仿宋_GB2312" w:hAnsi="仿宋_GB2312" w:cs="仿宋_GB2312" w:eastAsia="仿宋_GB2312"/>
                      <w:sz w:val="21"/>
                      <w:color w:val="000000"/>
                    </w:rPr>
                    <w:t>单价（元）</w:t>
                  </w:r>
                </w:p>
              </w:tc>
            </w:tr>
            <w:tr>
              <w:tc>
                <w:tcPr>
                  <w:tcW w:type="dxa" w:w="2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款式一</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花岗岩、山西黑</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930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690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650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造型设计</w:t>
                  </w:r>
                  <w:r>
                    <w:rPr>
                      <w:rFonts w:ascii="仿宋_GB2312" w:hAnsi="仿宋_GB2312" w:cs="仿宋_GB2312" w:eastAsia="仿宋_GB2312"/>
                      <w:sz w:val="21"/>
                      <w:color w:val="000000"/>
                    </w:rPr>
                    <w:t>、</w:t>
                  </w:r>
                  <w:r>
                    <w:rPr>
                      <w:rFonts w:ascii="仿宋_GB2312" w:hAnsi="仿宋_GB2312" w:cs="仿宋_GB2312" w:eastAsia="仿宋_GB2312"/>
                      <w:sz w:val="21"/>
                      <w:color w:val="000000"/>
                    </w:rPr>
                    <w:t>雕刻图案</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3900</w:t>
                  </w:r>
                </w:p>
              </w:tc>
            </w:tr>
            <w:tr>
              <w:tc>
                <w:tcPr>
                  <w:tcW w:type="dxa" w:w="2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款式二</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花岗岩、</w:t>
                  </w:r>
                  <w:r>
                    <w:rPr>
                      <w:rFonts w:ascii="仿宋_GB2312" w:hAnsi="仿宋_GB2312" w:cs="仿宋_GB2312" w:eastAsia="仿宋_GB2312"/>
                      <w:sz w:val="21"/>
                      <w:color w:val="000000"/>
                    </w:rPr>
                    <w:t>山西</w:t>
                  </w:r>
                  <w:r>
                    <w:rPr>
                      <w:rFonts w:ascii="仿宋_GB2312" w:hAnsi="仿宋_GB2312" w:cs="仿宋_GB2312" w:eastAsia="仿宋_GB2312"/>
                      <w:sz w:val="21"/>
                      <w:color w:val="000000"/>
                    </w:rPr>
                    <w:t>黑</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820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600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800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造型设计</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3650</w:t>
                  </w:r>
                </w:p>
              </w:tc>
            </w:tr>
            <w:tr>
              <w:tc>
                <w:tcPr>
                  <w:tcW w:type="dxa" w:w="268"/>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款式三</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花岗岩</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160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140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560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雕刻图案</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2000</w:t>
                  </w:r>
                </w:p>
              </w:tc>
            </w:tr>
            <w:tr>
              <w:tc>
                <w:tcPr>
                  <w:tcW w:type="dxa" w:w="268"/>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款式四</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花岗岩</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140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140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520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造型设计</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370</w:t>
                  </w:r>
                </w:p>
              </w:tc>
            </w:tr>
            <w:tr>
              <w:tc>
                <w:tcPr>
                  <w:tcW w:type="dxa" w:w="268"/>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款式五</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花岗岩、</w:t>
                  </w:r>
                  <w:r>
                    <w:rPr>
                      <w:rFonts w:ascii="仿宋_GB2312" w:hAnsi="仿宋_GB2312" w:cs="仿宋_GB2312" w:eastAsia="仿宋_GB2312"/>
                      <w:sz w:val="21"/>
                      <w:color w:val="000000"/>
                    </w:rPr>
                    <w:t>山西</w:t>
                  </w:r>
                  <w:r>
                    <w:rPr>
                      <w:rFonts w:ascii="仿宋_GB2312" w:hAnsi="仿宋_GB2312" w:cs="仿宋_GB2312" w:eastAsia="仿宋_GB2312"/>
                      <w:sz w:val="21"/>
                      <w:color w:val="000000"/>
                    </w:rPr>
                    <w:t>黑</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780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520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150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造型设计</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1430</w:t>
                  </w:r>
                </w:p>
              </w:tc>
            </w:tr>
            <w:tr>
              <w:tc>
                <w:tcPr>
                  <w:tcW w:type="dxa" w:w="268"/>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款式六</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210"/>
                    <w:jc w:val="both"/>
                  </w:pPr>
                  <w:r>
                    <w:rPr>
                      <w:rFonts w:ascii="仿宋_GB2312" w:hAnsi="仿宋_GB2312" w:cs="仿宋_GB2312" w:eastAsia="仿宋_GB2312"/>
                      <w:sz w:val="21"/>
                      <w:color w:val="000000"/>
                    </w:rPr>
                    <w:t>山西黑</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750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620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艺术墓碑</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1900</w:t>
                  </w:r>
                </w:p>
              </w:tc>
            </w:tr>
            <w:tr>
              <w:tc>
                <w:tcPr>
                  <w:tcW w:type="dxa" w:w="268"/>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款式七</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420"/>
                    <w:jc w:val="both"/>
                  </w:pPr>
                  <w:r>
                    <w:rPr>
                      <w:rFonts w:ascii="仿宋_GB2312" w:hAnsi="仿宋_GB2312" w:cs="仿宋_GB2312" w:eastAsia="仿宋_GB2312"/>
                      <w:sz w:val="21"/>
                      <w:color w:val="000000"/>
                    </w:rPr>
                    <w:t>花岗岩、</w:t>
                  </w:r>
                  <w:r>
                    <w:rPr>
                      <w:rFonts w:ascii="仿宋_GB2312" w:hAnsi="仿宋_GB2312" w:cs="仿宋_GB2312" w:eastAsia="仿宋_GB2312"/>
                      <w:sz w:val="21"/>
                      <w:color w:val="000000"/>
                    </w:rPr>
                    <w:t>山西</w:t>
                  </w:r>
                  <w:r>
                    <w:rPr>
                      <w:rFonts w:ascii="仿宋_GB2312" w:hAnsi="仿宋_GB2312" w:cs="仿宋_GB2312" w:eastAsia="仿宋_GB2312"/>
                      <w:sz w:val="21"/>
                      <w:color w:val="000000"/>
                    </w:rPr>
                    <w:t>黑</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780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520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180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造型设计</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2200</w:t>
                  </w:r>
                </w:p>
              </w:tc>
            </w:tr>
            <w:tr>
              <w:tc>
                <w:tcPr>
                  <w:tcW w:type="dxa" w:w="268"/>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款式八</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420"/>
                    <w:jc w:val="both"/>
                  </w:pPr>
                  <w:r>
                    <w:rPr>
                      <w:rFonts w:ascii="仿宋_GB2312" w:hAnsi="仿宋_GB2312" w:cs="仿宋_GB2312" w:eastAsia="仿宋_GB2312"/>
                      <w:sz w:val="21"/>
                      <w:color w:val="000000"/>
                    </w:rPr>
                    <w:t>花岗岩、</w:t>
                  </w:r>
                  <w:r>
                    <w:rPr>
                      <w:rFonts w:ascii="仿宋_GB2312" w:hAnsi="仿宋_GB2312" w:cs="仿宋_GB2312" w:eastAsia="仿宋_GB2312"/>
                      <w:sz w:val="21"/>
                      <w:color w:val="000000"/>
                    </w:rPr>
                    <w:t>山西</w:t>
                  </w:r>
                  <w:r>
                    <w:rPr>
                      <w:rFonts w:ascii="仿宋_GB2312" w:hAnsi="仿宋_GB2312" w:cs="仿宋_GB2312" w:eastAsia="仿宋_GB2312"/>
                      <w:sz w:val="21"/>
                      <w:color w:val="000000"/>
                    </w:rPr>
                    <w:t>黑</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600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500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160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造型设计</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2000</w:t>
                  </w:r>
                </w:p>
              </w:tc>
            </w:tr>
            <w:tr>
              <w:tc>
                <w:tcPr>
                  <w:tcW w:type="dxa" w:w="268"/>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rFonts w:ascii="仿宋_GB2312" w:hAnsi="仿宋_GB2312" w:cs="仿宋_GB2312" w:eastAsia="仿宋_GB2312"/>
                      <w:sz w:val="21"/>
                      <w:color w:val="000000"/>
                    </w:rPr>
                    <w:t>款式九</w:t>
                  </w:r>
                </w:p>
              </w:tc>
              <w:tc>
                <w:tcPr>
                  <w:tcW w:type="dxa" w:w="4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210"/>
                    <w:jc w:val="both"/>
                  </w:pPr>
                  <w:r>
                    <w:rPr>
                      <w:rFonts w:ascii="仿宋_GB2312" w:hAnsi="仿宋_GB2312" w:cs="仿宋_GB2312" w:eastAsia="仿宋_GB2312"/>
                      <w:sz w:val="21"/>
                      <w:color w:val="000000"/>
                    </w:rPr>
                    <w:t>花岗岩</w:t>
                  </w:r>
                </w:p>
              </w:tc>
              <w:tc>
                <w:tcPr>
                  <w:tcW w:type="dxa" w:w="25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1140</w:t>
                  </w:r>
                </w:p>
              </w:tc>
              <w:tc>
                <w:tcPr>
                  <w:tcW w:type="dxa" w:w="2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300</w:t>
                  </w:r>
                </w:p>
              </w:tc>
              <w:tc>
                <w:tcPr>
                  <w:tcW w:type="dxa" w:w="29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20</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一面光</w:t>
                  </w:r>
                </w:p>
              </w:tc>
              <w:tc>
                <w:tcPr>
                  <w:tcW w:type="dxa" w:w="5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170</w:t>
                  </w:r>
                </w:p>
              </w:tc>
            </w:tr>
          </w:tbl>
          <w:p>
            <w:pPr>
              <w:pStyle w:val="null3"/>
              <w:jc w:val="both"/>
            </w:pPr>
            <w:r>
              <w:rPr>
                <w:rFonts w:ascii="仿宋_GB2312" w:hAnsi="仿宋_GB2312" w:cs="仿宋_GB2312" w:eastAsia="仿宋_GB2312"/>
                <w:sz w:val="24"/>
              </w:rPr>
              <w:t>三、参考图片</w:t>
            </w:r>
          </w:p>
          <w:p>
            <w:pPr>
              <w:pStyle w:val="null3"/>
              <w:jc w:val="both"/>
            </w:pPr>
            <w:r>
              <w:rPr>
                <w:rFonts w:ascii="仿宋_GB2312" w:hAnsi="仿宋_GB2312" w:cs="仿宋_GB2312" w:eastAsia="仿宋_GB2312"/>
                <w:sz w:val="24"/>
                <w:b/>
              </w:rPr>
              <w:t>款式一</w:t>
            </w:r>
          </w:p>
          <w:p>
            <w:pPr>
              <w:pStyle w:val="null3"/>
              <w:jc w:val="both"/>
            </w:pPr>
            <w:r>
              <w:drawing>
                <wp:inline distT="0" distR="0" distB="0" distL="0">
                  <wp:extent cx="1621155" cy="1326690"/>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9"/>
                          <a:stretch>
                            <a:fillRect/>
                          </a:stretch>
                        </pic:blipFill>
                        <pic:spPr>
                          <a:xfrm>
                            <a:off x="0" y="0"/>
                            <a:ext cx="1621155" cy="1326690"/>
                          </a:xfrm>
                          <a:prstGeom prst="rect">
                            <a:avLst/>
                          </a:prstGeom>
                        </pic:spPr>
                      </pic:pic>
                    </a:graphicData>
                  </a:graphic>
                </wp:inline>
              </w:drawing>
            </w:r>
          </w:p>
          <w:p>
            <w:pPr>
              <w:pStyle w:val="null3"/>
              <w:jc w:val="both"/>
            </w:pPr>
            <w:r>
              <w:rPr>
                <w:rFonts w:ascii="仿宋_GB2312" w:hAnsi="仿宋_GB2312" w:cs="仿宋_GB2312" w:eastAsia="仿宋_GB2312"/>
                <w:sz w:val="24"/>
                <w:b/>
              </w:rPr>
              <w:t>款式二</w:t>
            </w:r>
          </w:p>
          <w:p>
            <w:pPr>
              <w:pStyle w:val="null3"/>
              <w:jc w:val="both"/>
            </w:pPr>
            <w:r>
              <w:drawing>
                <wp:inline distT="0" distR="0" distB="0" distL="0">
                  <wp:extent cx="1621155" cy="1134135"/>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20"/>
                          <a:stretch>
                            <a:fillRect/>
                          </a:stretch>
                        </pic:blipFill>
                        <pic:spPr>
                          <a:xfrm>
                            <a:off x="0" y="0"/>
                            <a:ext cx="1621155" cy="1134135"/>
                          </a:xfrm>
                          <a:prstGeom prst="rect">
                            <a:avLst/>
                          </a:prstGeom>
                        </pic:spPr>
                      </pic:pic>
                    </a:graphicData>
                  </a:graphic>
                </wp:inline>
              </w:drawing>
            </w:r>
          </w:p>
          <w:p>
            <w:pPr>
              <w:pStyle w:val="null3"/>
              <w:jc w:val="both"/>
            </w:pPr>
            <w:r>
              <w:rPr>
                <w:rFonts w:ascii="仿宋_GB2312" w:hAnsi="仿宋_GB2312" w:cs="仿宋_GB2312" w:eastAsia="仿宋_GB2312"/>
                <w:sz w:val="24"/>
                <w:b/>
              </w:rPr>
              <w:t>款式三</w:t>
            </w:r>
          </w:p>
          <w:p>
            <w:pPr>
              <w:pStyle w:val="null3"/>
              <w:jc w:val="both"/>
            </w:pPr>
            <w:r>
              <w:drawing>
                <wp:inline distT="0" distR="0" distB="0" distL="0">
                  <wp:extent cx="1621155" cy="1270474"/>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1"/>
                          <a:stretch>
                            <a:fillRect/>
                          </a:stretch>
                        </pic:blipFill>
                        <pic:spPr>
                          <a:xfrm>
                            <a:off x="0" y="0"/>
                            <a:ext cx="1621155" cy="1270474"/>
                          </a:xfrm>
                          <a:prstGeom prst="rect">
                            <a:avLst/>
                          </a:prstGeom>
                        </pic:spPr>
                      </pic:pic>
                    </a:graphicData>
                  </a:graphic>
                </wp:inline>
              </w:drawing>
            </w:r>
          </w:p>
          <w:p>
            <w:pPr>
              <w:pStyle w:val="null3"/>
              <w:jc w:val="both"/>
            </w:pPr>
            <w:r>
              <w:rPr>
                <w:rFonts w:ascii="仿宋_GB2312" w:hAnsi="仿宋_GB2312" w:cs="仿宋_GB2312" w:eastAsia="仿宋_GB2312"/>
                <w:sz w:val="24"/>
                <w:b/>
              </w:rPr>
              <w:t>款式四</w:t>
            </w:r>
          </w:p>
          <w:p>
            <w:pPr>
              <w:pStyle w:val="null3"/>
              <w:jc w:val="both"/>
            </w:pPr>
            <w:r>
              <w:drawing>
                <wp:inline distT="0" distR="0" distB="0" distL="0">
                  <wp:extent cx="1621155" cy="1361337"/>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2"/>
                          <a:stretch>
                            <a:fillRect/>
                          </a:stretch>
                        </pic:blipFill>
                        <pic:spPr>
                          <a:xfrm>
                            <a:off x="0" y="0"/>
                            <a:ext cx="1621155" cy="1361337"/>
                          </a:xfrm>
                          <a:prstGeom prst="rect">
                            <a:avLst/>
                          </a:prstGeom>
                        </pic:spPr>
                      </pic:pic>
                    </a:graphicData>
                  </a:graphic>
                </wp:inline>
              </w:drawing>
            </w:r>
          </w:p>
          <w:p>
            <w:pPr>
              <w:pStyle w:val="null3"/>
              <w:jc w:val="both"/>
            </w:pPr>
            <w:r>
              <w:rPr>
                <w:rFonts w:ascii="仿宋_GB2312" w:hAnsi="仿宋_GB2312" w:cs="仿宋_GB2312" w:eastAsia="仿宋_GB2312"/>
                <w:sz w:val="24"/>
                <w:b/>
              </w:rPr>
              <w:t>款式五</w:t>
            </w:r>
          </w:p>
          <w:p>
            <w:pPr>
              <w:pStyle w:val="null3"/>
              <w:jc w:val="both"/>
            </w:pPr>
            <w:r>
              <w:drawing>
                <wp:inline distT="0" distR="0" distB="0" distL="0">
                  <wp:extent cx="1621155" cy="1257770"/>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23"/>
                          <a:stretch>
                            <a:fillRect/>
                          </a:stretch>
                        </pic:blipFill>
                        <pic:spPr>
                          <a:xfrm>
                            <a:off x="0" y="0"/>
                            <a:ext cx="1621155" cy="1257770"/>
                          </a:xfrm>
                          <a:prstGeom prst="rect">
                            <a:avLst/>
                          </a:prstGeom>
                        </pic:spPr>
                      </pic:pic>
                    </a:graphicData>
                  </a:graphic>
                </wp:inline>
              </w:drawing>
            </w:r>
          </w:p>
          <w:p>
            <w:pPr>
              <w:pStyle w:val="null3"/>
              <w:jc w:val="both"/>
            </w:pPr>
            <w:r>
              <w:rPr>
                <w:rFonts w:ascii="仿宋_GB2312" w:hAnsi="仿宋_GB2312" w:cs="仿宋_GB2312" w:eastAsia="仿宋_GB2312"/>
                <w:sz w:val="24"/>
                <w:b/>
              </w:rPr>
              <w:t>款式六</w:t>
            </w:r>
          </w:p>
          <w:p>
            <w:pPr>
              <w:pStyle w:val="null3"/>
              <w:jc w:val="both"/>
            </w:pPr>
            <w:r>
              <w:drawing>
                <wp:inline distT="0" distR="0" distB="0" distL="0">
                  <wp:extent cx="1621155" cy="1487836"/>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24"/>
                          <a:stretch>
                            <a:fillRect/>
                          </a:stretch>
                        </pic:blipFill>
                        <pic:spPr>
                          <a:xfrm>
                            <a:off x="0" y="0"/>
                            <a:ext cx="1621155" cy="1487836"/>
                          </a:xfrm>
                          <a:prstGeom prst="rect">
                            <a:avLst/>
                          </a:prstGeom>
                        </pic:spPr>
                      </pic:pic>
                    </a:graphicData>
                  </a:graphic>
                </wp:inline>
              </w:drawing>
            </w:r>
          </w:p>
          <w:p>
            <w:pPr>
              <w:pStyle w:val="null3"/>
              <w:jc w:val="both"/>
            </w:pPr>
            <w:r>
              <w:rPr>
                <w:rFonts w:ascii="仿宋_GB2312" w:hAnsi="仿宋_GB2312" w:cs="仿宋_GB2312" w:eastAsia="仿宋_GB2312"/>
                <w:sz w:val="24"/>
                <w:b/>
              </w:rPr>
              <w:t>款式七</w:t>
            </w:r>
          </w:p>
          <w:p>
            <w:pPr>
              <w:pStyle w:val="null3"/>
              <w:jc w:val="both"/>
            </w:pPr>
            <w:r>
              <w:drawing>
                <wp:inline distT="0" distR="0" distB="0" distL="0">
                  <wp:extent cx="1621155" cy="1088014"/>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5"/>
                          <a:stretch>
                            <a:fillRect/>
                          </a:stretch>
                        </pic:blipFill>
                        <pic:spPr>
                          <a:xfrm>
                            <a:off x="0" y="0"/>
                            <a:ext cx="1621155" cy="1088014"/>
                          </a:xfrm>
                          <a:prstGeom prst="rect">
                            <a:avLst/>
                          </a:prstGeom>
                        </pic:spPr>
                      </pic:pic>
                    </a:graphicData>
                  </a:graphic>
                </wp:inline>
              </w:drawing>
            </w:r>
          </w:p>
          <w:p>
            <w:pPr>
              <w:pStyle w:val="null3"/>
              <w:jc w:val="both"/>
            </w:pPr>
            <w:r>
              <w:rPr>
                <w:rFonts w:ascii="仿宋_GB2312" w:hAnsi="仿宋_GB2312" w:cs="仿宋_GB2312" w:eastAsia="仿宋_GB2312"/>
                <w:sz w:val="24"/>
                <w:b/>
              </w:rPr>
              <w:t>款式八</w:t>
            </w:r>
          </w:p>
          <w:p>
            <w:pPr>
              <w:pStyle w:val="null3"/>
              <w:jc w:val="both"/>
            </w:pPr>
            <w:r>
              <w:drawing>
                <wp:inline distT="0" distR="0" distB="0" distL="0">
                  <wp:extent cx="1621155" cy="1170763"/>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6"/>
                          <a:stretch>
                            <a:fillRect/>
                          </a:stretch>
                        </pic:blipFill>
                        <pic:spPr>
                          <a:xfrm>
                            <a:off x="0" y="0"/>
                            <a:ext cx="1621155" cy="1170763"/>
                          </a:xfrm>
                          <a:prstGeom prst="rect">
                            <a:avLst/>
                          </a:prstGeom>
                        </pic:spPr>
                      </pic:pic>
                    </a:graphicData>
                  </a:graphic>
                </wp:inline>
              </w:drawing>
            </w:r>
          </w:p>
          <w:p>
            <w:pPr>
              <w:pStyle w:val="null3"/>
              <w:jc w:val="both"/>
            </w:pPr>
            <w:r>
              <w:rPr>
                <w:rFonts w:ascii="仿宋_GB2312" w:hAnsi="仿宋_GB2312" w:cs="仿宋_GB2312" w:eastAsia="仿宋_GB2312"/>
                <w:sz w:val="24"/>
                <w:b/>
              </w:rPr>
              <w:t>款式九</w:t>
            </w:r>
          </w:p>
          <w:p>
            <w:pPr>
              <w:pStyle w:val="null3"/>
              <w:jc w:val="both"/>
            </w:pPr>
            <w:r>
              <w:drawing>
                <wp:inline distT="0" distR="0" distB="0" distL="0">
                  <wp:extent cx="1621155" cy="1027696"/>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7"/>
                          <a:stretch>
                            <a:fillRect/>
                          </a:stretch>
                        </pic:blipFill>
                        <pic:spPr>
                          <a:xfrm>
                            <a:off x="0" y="0"/>
                            <a:ext cx="1621155" cy="1027696"/>
                          </a:xfrm>
                          <a:prstGeom prst="rect">
                            <a:avLst/>
                          </a:prstGeom>
                        </pic:spPr>
                      </pic:pic>
                    </a:graphicData>
                  </a:graphic>
                </wp:inline>
              </w:drawing>
            </w:r>
          </w:p>
          <w:p>
            <w:pPr>
              <w:pStyle w:val="null3"/>
              <w:jc w:val="both"/>
            </w:pPr>
            <w:r>
              <w:rPr>
                <w:rFonts w:ascii="仿宋_GB2312" w:hAnsi="仿宋_GB2312" w:cs="仿宋_GB2312" w:eastAsia="仿宋_GB2312"/>
              </w:rPr>
              <w:t xml:space="preserve"> </w:t>
            </w:r>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 xml:space="preserve"> 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一年</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一年</w:t>
      </w:r>
    </w:p>
    <w:p>
      <w:pPr>
        <w:pStyle w:val="null3"/>
        <w:outlineLvl w:val="3"/>
      </w:pPr>
      <w:r>
        <w:rPr>
          <w:rFonts w:ascii="仿宋_GB2312" w:hAnsi="仿宋_GB2312" w:cs="仿宋_GB2312" w:eastAsia="仿宋_GB2312"/>
          <w:sz w:val="24"/>
          <w:b/>
        </w:rPr>
        <w:t>3.4.2交货地点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2）按照甲方要求每季度结算一次，第一季度供货结束付款至合同总金额的40%，每次付款前，乙方需向甲方提供付款金额等值的增值税专用发票。（3）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 （2）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3）第二季度供货结束付款合同总金额的20%，每次付款前，乙方需向甲方提供付款金额等值的增值税专用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 （2）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3）第三季度供货结束付款合同总金额的20%，每次付款前，乙方需向甲方提供付款金额等值的增值税专用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 （2）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3）第四季度供货结束付款合同总金额的20%，每次付款前，乙方需向甲方提供付款金额等值的增值税专用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2）按照甲方要求每季度结算一次，第一季度供货结束付款至合同总金额的40%，每次付款前，乙方需向甲方提供付款金额等值的增值税专用发票。（3）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 （2）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3）第二季度供货结束付款合同总金额的20%，每次付款前，乙方需向甲方提供付款金额等值的增值税专用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 （2）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3）第三季度供货结束付款合同总金额的20%，每次付款前，乙方需向甲方提供付款金额等值的增值税专用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（1）货物全部运到采购人指定地方，经采购人验收合格后，持验收合格单在买方处办理货款的支付手续，每次验收合格后，验收合格单需甲乙双方验收人员签字，双方盖章。 （2）合同单价包括所有产品包装、人工费用、装卸、搬运、运输费、不合格货物的退换、各种税费、按时交货及合同实施过程中的不可预见费用等全部费用，供货方需提供“增值税专用发票”，本项目付款方式采取先供货销售、后支付货款的方式，每季度的货款按该季度的实际需求数量乘以中标单价进行结算。（3）第四季度供货结束付款合同总金额的20%，每次付款前，乙方需向甲方提供付款金额等值的增值税专用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货物到达采购人指定地点后，采购人根据合同要求，进行验收，确认产地、规格和数量。必要时委托具有相关资质的第三方检测机构或邀请行业内专家对货物外观质量等进行抽样检验，检验费用由中标供应商承担。 2、验收按国家有关的规定、规范结合本项目的各项要求进行。如在验收时发现所提供的货物有损坏和不符合本项目要求的，由参与验收的工作人员作出详尽的现场记录并由相关工作人员和中标方经办人双方签署备案。 3、如因货物的质量、品种样式、用材、技术指标、工艺等问题发生争议的，由质量技术鉴定部门进行鉴定，如经鉴定货物符合要求的，鉴定费由采购人承担；否则鉴定费由中标人承担。 4、验收依据 4.1、招标文件、投标文件、澄清表（函）； 4.2、本合同及附件文本； 4.3、国家相应的标准、规范。</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货物到达采购人指定地点后，采购人根据合同要求，进行验收，确认产地、规格和数量。必要时委托具有相关资质的第三方检测机构或邀请行业内专家对货物外观质量等进行抽样检验，检验费用由中标供应商承担。 2、验收按国家有关的规定、规范结合本项目的各项要求进行。如在验收时发现所提供的货物有损坏和不符合本项目要求的，由参与验收的工作人员作出详尽的现场记录并由相关工作人员和中标方经办人双方签署备案。 3、如因货物的质量、品种样式、用材、技术指标、工艺等问题发生争议的，由质量技术鉴定部门进行鉴定，如经鉴定货物符合要求的，鉴定费由采购人承担；否则鉴定费由中标人承担。 4、验收依据 4.1、招标文件、投标文件、澄清表（函）； 4.2、本合同及附件文本； 4.3、国家相应的标准、规范。</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1、所选原材料必须保证质量可靠、进货渠道正规，符合国家相关标准，并满足招标文件要求。 2、中标供应商所供货物，若发生侵权而产生的一切后果，由中标供应商负责。采购人保留索赔权力。 3、质量保修期：自货物出厂之日起12个月，若该质量保证期小于国家标准，则以国家标准为准。质保期内：30天内，如出现质量问题，可以选择换货或退货；30天至60天内，如出现质量问题，可选择换货。 4、中标供应商所供货物，若发生侵权而产生的一切后果，由中标供应商负责。采购人保留索赔权力。</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1、所选原材料必须保证质量可靠、进货渠道正规，符合国家相关标准，并满足招标文件要求。 2、中标供应商所供货物，若发生侵权而产生的一切后果，由中标供应商负责。采购人保留索赔权力。 3、质量保修期：自货物出厂之日起12个月，若该质量保证期小于国家标准，则以国家标准为准。质保期内：30天内，如出现质量问题，可以选择换货或退货；30天至60天内，如出现质量问题，可选择换货。 4、中标供应商所供货物，若发生侵权而产生的一切后果，由中标供应商负责。采购人保留索赔权力。</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按《民法典》中的相关条款执行。 未按合同要求提供货物或货物不能满足合同要求，采购方会同集中采购机构有权终止合同和对中标方违约行为进行追究，同时按《政府采购法》及相关法律法规的处罚条款报监管机构进行相应的处罚。合同未尽事宜，双方应协商解决，经协商无法解决的，双方均可向采购方所在地人民法院提起诉讼。</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按《民法典》中的相关条款执行。 未按合同要求提供货物或货物不能满足合同要求，采购方会同集中采购机构有权终止合同和对中标方违约行为进行追究，同时按《政府采购法》及相关法律法规的处罚条款报监管机构进行相应的处罚。合同未尽事宜，双方应协商解决，经协商无法解决的，双方均可向采购方所在地人民法院提起诉讼。</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注：1.供应商中标后，和采购人签署合同时，需按照采购清单要求提供样品各一份。 2.本项目共设2个采购包，采用“兼投不兼中”原则。投标人可同时参与各包投标，但每个包仅能确定1个中标人。评标时按包号顺序推荐候选人，若同一投标人在不同包排名靠前，则依次确定中标人。</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七、资格证明文件.docx 十一、供应商承诺书.docx 投标函 投标文件封面</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七、资格证明文件.docx 投标函</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七、资格证明文件.docx 十一、供应商承诺书.docx 投标函 投标文件封面</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七、资格证明文件.docx 投标函</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营业执照</w:t>
            </w:r>
          </w:p>
        </w:tc>
        <w:tc>
          <w:tcPr>
            <w:tcW w:type="dxa" w:w="3322"/>
          </w:tcPr>
          <w:p>
            <w:pPr>
              <w:pStyle w:val="null3"/>
            </w:pPr>
            <w:r>
              <w:rPr>
                <w:rFonts w:ascii="仿宋_GB2312" w:hAnsi="仿宋_GB2312" w:cs="仿宋_GB2312" w:eastAsia="仿宋_GB2312"/>
              </w:rPr>
              <w:t>具有独立承担民事责任能力的法人、其他组织或自然人，并出具合法有效的营业执照或事业单位法人证书等国家规定的相关证明 ，自然人参与的提供其身份证明。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法人授权书及被授权人有效身份证明</w:t>
            </w:r>
          </w:p>
        </w:tc>
        <w:tc>
          <w:tcPr>
            <w:tcW w:type="dxa" w:w="3322"/>
          </w:tcPr>
          <w:p>
            <w:pPr>
              <w:pStyle w:val="null3"/>
            </w:pPr>
            <w:r>
              <w:rPr>
                <w:rFonts w:ascii="仿宋_GB2312" w:hAnsi="仿宋_GB2312" w:cs="仿宋_GB2312" w:eastAsia="仿宋_GB2312"/>
              </w:rPr>
              <w:t>法定代表人直接参加投标的，须出具法人身份证明及身份证扫描件；法定代表人授权代表参加投标的，须出具法定代表人授权书及授权代表身份证扫描件。</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财务状况</w:t>
            </w:r>
          </w:p>
        </w:tc>
        <w:tc>
          <w:tcPr>
            <w:tcW w:type="dxa" w:w="3322"/>
          </w:tcPr>
          <w:p>
            <w:pPr>
              <w:pStyle w:val="null3"/>
            </w:pPr>
            <w:r>
              <w:rPr>
                <w:rFonts w:ascii="仿宋_GB2312" w:hAnsi="仿宋_GB2312" w:cs="仿宋_GB2312" w:eastAsia="仿宋_GB2312"/>
              </w:rPr>
              <w:t>供应商提供2023或2024年的财务审计报告（至少包括资产负债表和利润表，成立时间至提交响应文件截止时间不足一年的可提供成立后任意时段的资产负债表），或其开标前六个月内银行开具的资信证明；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供应商提供近一年内已缴纳的至少一个月的纳税证明或完税证明，纳税证明或完税证明上应有代收机构或税务机关的公章，依法免税的供应商应提供相关文件证明；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社会保障资金缴纳证明</w:t>
            </w:r>
          </w:p>
        </w:tc>
        <w:tc>
          <w:tcPr>
            <w:tcW w:type="dxa" w:w="3322"/>
          </w:tcPr>
          <w:p>
            <w:pPr>
              <w:pStyle w:val="null3"/>
            </w:pPr>
            <w:r>
              <w:rPr>
                <w:rFonts w:ascii="仿宋_GB2312" w:hAnsi="仿宋_GB2312" w:cs="仿宋_GB2312" w:eastAsia="仿宋_GB2312"/>
              </w:rPr>
              <w:t>供应商提供近一年内本单位已缴存的至少一个月的社会保障资金缴存单据或社保机构开具的社会保险参保缴费情况证明，依法不需要缴纳社会保障资金的供应商应提供相关文件证明；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无重大违法记录声明</w:t>
            </w:r>
          </w:p>
        </w:tc>
        <w:tc>
          <w:tcPr>
            <w:tcW w:type="dxa" w:w="3322"/>
          </w:tcPr>
          <w:p>
            <w:pPr>
              <w:pStyle w:val="null3"/>
            </w:pPr>
            <w:r>
              <w:rPr>
                <w:rFonts w:ascii="仿宋_GB2312" w:hAnsi="仿宋_GB2312" w:cs="仿宋_GB2312" w:eastAsia="仿宋_GB2312"/>
              </w:rPr>
              <w:t>供应商应具备良好的商业信誉，提供参加政府采购活动前3年内在经营活动中没有重大违法记录的书面声明；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履行合同承诺函</w:t>
            </w:r>
          </w:p>
        </w:tc>
        <w:tc>
          <w:tcPr>
            <w:tcW w:type="dxa" w:w="3322"/>
          </w:tcPr>
          <w:p>
            <w:pPr>
              <w:pStyle w:val="null3"/>
            </w:pPr>
            <w:r>
              <w:rPr>
                <w:rFonts w:ascii="仿宋_GB2312" w:hAnsi="仿宋_GB2312" w:cs="仿宋_GB2312" w:eastAsia="仿宋_GB2312"/>
              </w:rPr>
              <w:t>提供具有履行合同所必需的设备和专业技术能力的承诺函。</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供应商信用截图</w:t>
            </w:r>
          </w:p>
        </w:tc>
        <w:tc>
          <w:tcPr>
            <w:tcW w:type="dxa" w:w="3322"/>
          </w:tcPr>
          <w:p>
            <w:pPr>
              <w:pStyle w:val="null3"/>
            </w:pPr>
            <w:r>
              <w:rPr>
                <w:rFonts w:ascii="仿宋_GB2312" w:hAnsi="仿宋_GB2312" w:cs="仿宋_GB2312" w:eastAsia="仿宋_GB2312"/>
              </w:rPr>
              <w:t>供应商提供不得为“信用中国”网站(http://www.creditchina.gov.cn)列入“失信被执行人（页面跳转至“中国执行信息公开网”http://zxgk.court.gov.cn/shixin/）、重大税收违法失信主体”的投标人；不得为中国政府采购网(http://www.ccgp.gov.cn)“政府采购严重违法失信行为记录名单”的投标人。</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承诺书</w:t>
            </w:r>
          </w:p>
        </w:tc>
        <w:tc>
          <w:tcPr>
            <w:tcW w:type="dxa" w:w="332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供应商性质</w:t>
            </w:r>
          </w:p>
        </w:tc>
        <w:tc>
          <w:tcPr>
            <w:tcW w:type="dxa" w:w="3322"/>
          </w:tcPr>
          <w:p>
            <w:pPr>
              <w:pStyle w:val="null3"/>
            </w:pPr>
            <w:r>
              <w:rPr>
                <w:rFonts w:ascii="仿宋_GB2312" w:hAnsi="仿宋_GB2312" w:cs="仿宋_GB2312" w:eastAsia="仿宋_GB2312"/>
              </w:rPr>
              <w:t>本采购包专门面向中小企业采购。</w:t>
            </w:r>
          </w:p>
        </w:tc>
        <w:tc>
          <w:tcPr>
            <w:tcW w:type="dxa" w:w="1661"/>
          </w:tcPr>
          <w:p>
            <w:pPr>
              <w:pStyle w:val="null3"/>
            </w:pPr>
            <w:r>
              <w:rPr>
                <w:rFonts w:ascii="仿宋_GB2312" w:hAnsi="仿宋_GB2312" w:cs="仿宋_GB2312" w:eastAsia="仿宋_GB2312"/>
              </w:rPr>
              <w:t>七、资格证明文件.docx</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营业执照</w:t>
            </w:r>
          </w:p>
        </w:tc>
        <w:tc>
          <w:tcPr>
            <w:tcW w:type="dxa" w:w="3322"/>
          </w:tcPr>
          <w:p>
            <w:pPr>
              <w:pStyle w:val="null3"/>
            </w:pPr>
            <w:r>
              <w:rPr>
                <w:rFonts w:ascii="仿宋_GB2312" w:hAnsi="仿宋_GB2312" w:cs="仿宋_GB2312" w:eastAsia="仿宋_GB2312"/>
              </w:rPr>
              <w:t>具有独立承担民事责任能力的法人、其他组织或自然人，并出具合法有效的营业执照或事业单位法人证书等国家规定的相关证明 ，自然人参与的提供其身份证明。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法人授权书及被授权人有效身份证明</w:t>
            </w:r>
          </w:p>
        </w:tc>
        <w:tc>
          <w:tcPr>
            <w:tcW w:type="dxa" w:w="3322"/>
          </w:tcPr>
          <w:p>
            <w:pPr>
              <w:pStyle w:val="null3"/>
            </w:pPr>
            <w:r>
              <w:rPr>
                <w:rFonts w:ascii="仿宋_GB2312" w:hAnsi="仿宋_GB2312" w:cs="仿宋_GB2312" w:eastAsia="仿宋_GB2312"/>
              </w:rPr>
              <w:t>法定代表人直接参加投标的，须出具法人身份证明及身份证扫描件；法定代表人授权代表参加投标的，须出具法定代表人授权书及授权代表身份证扫描件。</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财务状况</w:t>
            </w:r>
          </w:p>
        </w:tc>
        <w:tc>
          <w:tcPr>
            <w:tcW w:type="dxa" w:w="3322"/>
          </w:tcPr>
          <w:p>
            <w:pPr>
              <w:pStyle w:val="null3"/>
            </w:pPr>
            <w:r>
              <w:rPr>
                <w:rFonts w:ascii="仿宋_GB2312" w:hAnsi="仿宋_GB2312" w:cs="仿宋_GB2312" w:eastAsia="仿宋_GB2312"/>
              </w:rPr>
              <w:t>供应商提供2023或2024年的财务审计报告（至少包括资产负债表和利润表，成立时间至提交响应文件截止时间不足一年的可提供成立后任意时段的资产负债表），或其开标前六个月内银行开具的资信证明；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供应商提供近一年内已缴纳的至少一个月的纳税证明或完税证明，纳税证明或完税证明上应有代收机构或税务机关的公章，依法免税的供应商应提供相关文件证明；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社会保障资金缴纳证明</w:t>
            </w:r>
          </w:p>
        </w:tc>
        <w:tc>
          <w:tcPr>
            <w:tcW w:type="dxa" w:w="3322"/>
          </w:tcPr>
          <w:p>
            <w:pPr>
              <w:pStyle w:val="null3"/>
            </w:pPr>
            <w:r>
              <w:rPr>
                <w:rFonts w:ascii="仿宋_GB2312" w:hAnsi="仿宋_GB2312" w:cs="仿宋_GB2312" w:eastAsia="仿宋_GB2312"/>
              </w:rPr>
              <w:t>供应商提供近一年内本单位已缴存的至少一个月的社会保障资金缴存单据或社保机构开具的社会保险参保缴费情况证明，依法不需要缴纳社会保障资金的供应商应提供相关文件证明；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无重大违法记录声明</w:t>
            </w:r>
          </w:p>
        </w:tc>
        <w:tc>
          <w:tcPr>
            <w:tcW w:type="dxa" w:w="3322"/>
          </w:tcPr>
          <w:p>
            <w:pPr>
              <w:pStyle w:val="null3"/>
            </w:pPr>
            <w:r>
              <w:rPr>
                <w:rFonts w:ascii="仿宋_GB2312" w:hAnsi="仿宋_GB2312" w:cs="仿宋_GB2312" w:eastAsia="仿宋_GB2312"/>
              </w:rPr>
              <w:t>供应商应具备良好的商业信誉，提供参加政府采购活动前3年内在经营活动中没有重大违法记录的书面声明；</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履行合同承诺函</w:t>
            </w:r>
          </w:p>
        </w:tc>
        <w:tc>
          <w:tcPr>
            <w:tcW w:type="dxa" w:w="3322"/>
          </w:tcPr>
          <w:p>
            <w:pPr>
              <w:pStyle w:val="null3"/>
            </w:pPr>
            <w:r>
              <w:rPr>
                <w:rFonts w:ascii="仿宋_GB2312" w:hAnsi="仿宋_GB2312" w:cs="仿宋_GB2312" w:eastAsia="仿宋_GB2312"/>
              </w:rPr>
              <w:t>提供具有履行合同所必需的设备和专业技术能力的承诺函。</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供应商信用截图</w:t>
            </w:r>
          </w:p>
        </w:tc>
        <w:tc>
          <w:tcPr>
            <w:tcW w:type="dxa" w:w="3322"/>
          </w:tcPr>
          <w:p>
            <w:pPr>
              <w:pStyle w:val="null3"/>
            </w:pPr>
            <w:r>
              <w:rPr>
                <w:rFonts w:ascii="仿宋_GB2312" w:hAnsi="仿宋_GB2312" w:cs="仿宋_GB2312" w:eastAsia="仿宋_GB2312"/>
              </w:rPr>
              <w:t>供应商提供不得为“信用中国”网站(http://www.creditchina.gov.cn)列入“失信被执行人（页面跳转至“中国执行信息公开网”http://zxgk.court.gov.cn/shixin/）、重大税收违法失信主体”的投标人；不得为中国政府采购网(http://www.ccgp.gov.cn)“政府采购严重违法失信行为记录名单”的投标人。</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承诺书</w:t>
            </w:r>
          </w:p>
        </w:tc>
        <w:tc>
          <w:tcPr>
            <w:tcW w:type="dxa" w:w="332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1661"/>
          </w:tcPr>
          <w:p>
            <w:pPr>
              <w:pStyle w:val="null3"/>
            </w:pPr>
            <w:r>
              <w:rPr>
                <w:rFonts w:ascii="仿宋_GB2312" w:hAnsi="仿宋_GB2312" w:cs="仿宋_GB2312" w:eastAsia="仿宋_GB2312"/>
              </w:rPr>
              <w:t>七、资格证明文件.docx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供应商性质</w:t>
            </w:r>
          </w:p>
        </w:tc>
        <w:tc>
          <w:tcPr>
            <w:tcW w:type="dxa" w:w="3322"/>
          </w:tcPr>
          <w:p>
            <w:pPr>
              <w:pStyle w:val="null3"/>
            </w:pPr>
            <w:r>
              <w:rPr>
                <w:rFonts w:ascii="仿宋_GB2312" w:hAnsi="仿宋_GB2312" w:cs="仿宋_GB2312" w:eastAsia="仿宋_GB2312"/>
              </w:rPr>
              <w:t>本采购包专门面向中小企业采购。</w:t>
            </w:r>
          </w:p>
        </w:tc>
        <w:tc>
          <w:tcPr>
            <w:tcW w:type="dxa" w:w="1661"/>
          </w:tcPr>
          <w:p>
            <w:pPr>
              <w:pStyle w:val="null3"/>
            </w:pPr>
            <w:r>
              <w:rPr>
                <w:rFonts w:ascii="仿宋_GB2312" w:hAnsi="仿宋_GB2312" w:cs="仿宋_GB2312" w:eastAsia="仿宋_GB2312"/>
              </w:rPr>
              <w:t>七、资格证明文件.docx</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七、资格证明文件.docx 八、中小企业声明函.docx</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七、资格证明文件.docx 八、中小企业声明函.docx</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陕西省政府采购评审专家管理实施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四、本项目采取电子评标，通过项目电子化交易系统完成评标工作。评标委员会成员、采购人、代理机构和投标人应当按照本招标文件规定和项目电子化交易系统操作要求开展或者参加评标活动。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一、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 xml:space="preserve"> （三）根据需要要求采购组织单位对招标文件作出解释；根据需要要求供应商对投标文件有关事项作出澄清、说明或者更正；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 评标方法</w:t>
      </w:r>
    </w:p>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 xml:space="preserve"> 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b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投标有效期</w:t>
            </w:r>
          </w:p>
        </w:tc>
        <w:tc>
          <w:tcPr>
            <w:tcW w:type="dxa" w:w="3322"/>
          </w:tcPr>
          <w:p>
            <w:pPr>
              <w:pStyle w:val="null3"/>
            </w:pPr>
            <w:r>
              <w:rPr>
                <w:rFonts w:ascii="仿宋_GB2312" w:hAnsi="仿宋_GB2312" w:cs="仿宋_GB2312" w:eastAsia="仿宋_GB2312"/>
              </w:rPr>
              <w:t>符合招标文件要求</w:t>
            </w:r>
          </w:p>
        </w:tc>
        <w:tc>
          <w:tcPr>
            <w:tcW w:type="dxa" w:w="1661"/>
          </w:tcPr>
          <w:p>
            <w:pPr>
              <w:pStyle w:val="null3"/>
            </w:pPr>
            <w:r>
              <w:rPr>
                <w:rFonts w:ascii="仿宋_GB2312" w:hAnsi="仿宋_GB2312" w:cs="仿宋_GB2312" w:eastAsia="仿宋_GB2312"/>
              </w:rPr>
              <w:t>四、分项报价表（1包）.docx 开标一览表 十二、其他资料.docx 八、中小企业声明函.docx 六、技术及商务偏离表.docx 七、资格证明文件.docx 十一、供应商承诺书.docx 投标函 九、技术方案说明.docx 十、业绩.docx 二、法人授权书docx.docx 标的清单 投标文件封面</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投标报价</w:t>
            </w:r>
          </w:p>
        </w:tc>
        <w:tc>
          <w:tcPr>
            <w:tcW w:type="dxa" w:w="3322"/>
          </w:tcPr>
          <w:p>
            <w:pPr>
              <w:pStyle w:val="null3"/>
            </w:pPr>
            <w:r>
              <w:rPr>
                <w:rFonts w:ascii="仿宋_GB2312" w:hAnsi="仿宋_GB2312" w:cs="仿宋_GB2312" w:eastAsia="仿宋_GB2312"/>
              </w:rPr>
              <w:t>同时满足以下条款：（1）投标报价符合唯一性 要求；（2）报价货币符合招标文件要求；（3） 未超出招标文件规定的单价最高限价。</w:t>
            </w:r>
          </w:p>
        </w:tc>
        <w:tc>
          <w:tcPr>
            <w:tcW w:type="dxa" w:w="1661"/>
          </w:tcPr>
          <w:p>
            <w:pPr>
              <w:pStyle w:val="null3"/>
            </w:pPr>
            <w:r>
              <w:rPr>
                <w:rFonts w:ascii="仿宋_GB2312" w:hAnsi="仿宋_GB2312" w:cs="仿宋_GB2312" w:eastAsia="仿宋_GB2312"/>
              </w:rPr>
              <w:t>四、分项报价表（1包）.docx 开标一览表 十二、其他资料.docx 八、中小企业声明函.docx 六、技术及商务偏离表.docx 七、资格证明文件.docx 十一、供应商承诺书.docx 投标函 九、技术方案说明.docx 十、业绩.docx 二、法人授权书docx.docx 标的清单 投标文件封面</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投标有效期</w:t>
            </w:r>
          </w:p>
        </w:tc>
        <w:tc>
          <w:tcPr>
            <w:tcW w:type="dxa" w:w="3322"/>
          </w:tcPr>
          <w:p>
            <w:pPr>
              <w:pStyle w:val="null3"/>
            </w:pPr>
            <w:r>
              <w:rPr>
                <w:rFonts w:ascii="仿宋_GB2312" w:hAnsi="仿宋_GB2312" w:cs="仿宋_GB2312" w:eastAsia="仿宋_GB2312"/>
              </w:rPr>
              <w:t>符合招标文件要求</w:t>
            </w:r>
          </w:p>
        </w:tc>
        <w:tc>
          <w:tcPr>
            <w:tcW w:type="dxa" w:w="1661"/>
          </w:tcPr>
          <w:p>
            <w:pPr>
              <w:pStyle w:val="null3"/>
            </w:pPr>
            <w:r>
              <w:rPr>
                <w:rFonts w:ascii="仿宋_GB2312" w:hAnsi="仿宋_GB2312" w:cs="仿宋_GB2312" w:eastAsia="仿宋_GB2312"/>
              </w:rPr>
              <w:t>开标一览表 十二、其他资料.docx 八、中小企业声明函.docx 六、技术及商务偏离表.docx 分项报价表（2包）.docx 七、资格证明文件.docx 十一、供应商承诺书.docx 投标函 九、技术方案说明.docx 十、业绩.docx 二、法人授权书docx.docx 标的清单 投标文件封面</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投标报价</w:t>
            </w:r>
          </w:p>
        </w:tc>
        <w:tc>
          <w:tcPr>
            <w:tcW w:type="dxa" w:w="3322"/>
          </w:tcPr>
          <w:p>
            <w:pPr>
              <w:pStyle w:val="null3"/>
            </w:pPr>
            <w:r>
              <w:rPr>
                <w:rFonts w:ascii="仿宋_GB2312" w:hAnsi="仿宋_GB2312" w:cs="仿宋_GB2312" w:eastAsia="仿宋_GB2312"/>
              </w:rPr>
              <w:t>同时满足以下条款：（1）投标报价符合唯一性 要求；（2）报价货币符合招标文件要求；（3） 未超出招标文件规定的单价最高限价。</w:t>
            </w:r>
          </w:p>
        </w:tc>
        <w:tc>
          <w:tcPr>
            <w:tcW w:type="dxa" w:w="1661"/>
          </w:tcPr>
          <w:p>
            <w:pPr>
              <w:pStyle w:val="null3"/>
            </w:pPr>
            <w:r>
              <w:rPr>
                <w:rFonts w:ascii="仿宋_GB2312" w:hAnsi="仿宋_GB2312" w:cs="仿宋_GB2312" w:eastAsia="仿宋_GB2312"/>
              </w:rPr>
              <w:t>开标一览表 十二、其他资料.docx 八、中小企业声明函.docx 六、技术及商务偏离表.docx 分项报价表（2包）.docx 七、资格证明文件.docx 十一、供应商承诺书.docx 投标函 九、技术方案说明.docx 十、业绩.docx 二、法人授权书docx.docx 标的清单 投标文件封面</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 xml:space="preserve"> 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标，重新评标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pPr>
      <w:r>
        <w:rPr>
          <w:rFonts w:ascii="仿宋_GB2312" w:hAnsi="仿宋_GB2312" w:cs="仿宋_GB2312" w:eastAsia="仿宋_GB2312"/>
        </w:rPr>
        <w:t>采购包2：</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三、评审方法和标准；</w:t>
      </w:r>
    </w:p>
    <w:p>
      <w:pPr>
        <w:pStyle w:val="null3"/>
        <w:ind w:firstLine="480"/>
      </w:pPr>
      <w:r>
        <w:rPr>
          <w:rFonts w:ascii="仿宋_GB2312" w:hAnsi="仿宋_GB2312" w:cs="仿宋_GB2312" w:eastAsia="仿宋_GB2312"/>
        </w:rPr>
        <w:t>四、开标记录和评审情况及说明，包括投标无效供应商名单及原因；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六、其他需要说明的情况，包括评标过程中投标人根据评标委员会要求进行的澄清、说明或者补正，评标委员会成员的更换等；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若采用综合评分法的，由评标委员会各成员对通过资格检查和符合性审查的投标人的投标文件进行独立评审。 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加工实施方案</w:t>
            </w:r>
          </w:p>
        </w:tc>
        <w:tc>
          <w:tcPr>
            <w:tcW w:type="dxa" w:w="2492"/>
          </w:tcPr>
          <w:p>
            <w:pPr>
              <w:pStyle w:val="null3"/>
            </w:pPr>
            <w:r>
              <w:rPr>
                <w:rFonts w:ascii="仿宋_GB2312" w:hAnsi="仿宋_GB2312" w:cs="仿宋_GB2312" w:eastAsia="仿宋_GB2312"/>
              </w:rPr>
              <w:t>投标人应针对本次项目提供可行的加工实施方案（本项目为按采购人所需分批供货）。由评标委员会根据投标人提供的实施流程、运作机制、设计加工、人员配置等是否适于本项目实施进行评审： 投标人提供的加工实施方案科学、完整、合理、有针对性，人员配置完善的，得10分；投标人提供的加工实施方案较科学、较完整、较合理、较有针对性的，人员配置合理的，得8分；投标人提供的加工实施方案基本完整，人员配置基本合理的，得5分；投标人提供有具体的加工实施方案和人员配置方案的，得2分。未提供者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配送实施方案</w:t>
            </w:r>
          </w:p>
        </w:tc>
        <w:tc>
          <w:tcPr>
            <w:tcW w:type="dxa" w:w="2492"/>
          </w:tcPr>
          <w:p>
            <w:pPr>
              <w:pStyle w:val="null3"/>
            </w:pPr>
            <w:r>
              <w:rPr>
                <w:rFonts w:ascii="仿宋_GB2312" w:hAnsi="仿宋_GB2312" w:cs="仿宋_GB2312" w:eastAsia="仿宋_GB2312"/>
              </w:rPr>
              <w:t>投标人应针对本次项目提供详细的配送实施方案（本项目为按采购人所需分批供货）。由评标委员会根据投标人提供的配送实施方案进行评审： 投标人提供的配送方案详尽，合理，措施完善的，得10分；投标人提供的配送实施方案较详尽，较为合理，措施较好的，得8分；投标人提供的配送计划较完整，措施一般的，得5分；投标人提供有具体的配送实施方案，得2分。未提供者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成品评价</w:t>
            </w:r>
          </w:p>
        </w:tc>
        <w:tc>
          <w:tcPr>
            <w:tcW w:type="dxa" w:w="2492"/>
          </w:tcPr>
          <w:p>
            <w:pPr>
              <w:pStyle w:val="null3"/>
            </w:pPr>
            <w:r>
              <w:rPr>
                <w:rFonts w:ascii="仿宋_GB2312" w:hAnsi="仿宋_GB2312" w:cs="仿宋_GB2312" w:eastAsia="仿宋_GB2312"/>
              </w:rPr>
              <w:t>投标人应提供以往生产及设计的墓园墓碑产品图片与技术描述供评标委员会评审（提供3份）。评标委员会对成品从外观、设计、工艺、实用性等方面进行评价： 外观美观、设计科学、工艺完善、实用性高的，得10分；外观较美观、设计较科学、工艺较完善、实用性较高的，得8分；外观整洁、有一定的设计和工艺、有实用性的，得5分；提供成品照片和技术描述，但不详细完整的，得2分。未提供者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疑难问题及其他实质性建议</w:t>
            </w:r>
          </w:p>
        </w:tc>
        <w:tc>
          <w:tcPr>
            <w:tcW w:type="dxa" w:w="2492"/>
          </w:tcPr>
          <w:p>
            <w:pPr>
              <w:pStyle w:val="null3"/>
            </w:pPr>
            <w:r>
              <w:rPr>
                <w:rFonts w:ascii="仿宋_GB2312" w:hAnsi="仿宋_GB2312" w:cs="仿宋_GB2312" w:eastAsia="仿宋_GB2312"/>
              </w:rPr>
              <w:t>评标委员会根据投标人针对本项目履约过程中可能出现的疑难问题及解决方案以及其他利于项目实施的实质性建议进行评审： 问题分析详尽，解决方案完善，能够实质性有利于项目实施的，得7分；有具体问题分析，解决方案完整的，有利于项目实施的，得4分；提供有问题分析和解决方案的，得2分。未提供者不得分。</w:t>
            </w:r>
          </w:p>
        </w:tc>
        <w:tc>
          <w:tcPr>
            <w:tcW w:type="dxa" w:w="831"/>
          </w:tcPr>
          <w:p>
            <w:pPr>
              <w:pStyle w:val="null3"/>
              <w:jc w:val="right"/>
            </w:pPr>
            <w:r>
              <w:rPr>
                <w:rFonts w:ascii="仿宋_GB2312" w:hAnsi="仿宋_GB2312" w:cs="仿宋_GB2312" w:eastAsia="仿宋_GB2312"/>
              </w:rPr>
              <w:t>7.0000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服务团队</w:t>
            </w:r>
          </w:p>
        </w:tc>
        <w:tc>
          <w:tcPr>
            <w:tcW w:type="dxa" w:w="2492"/>
          </w:tcPr>
          <w:p>
            <w:pPr>
              <w:pStyle w:val="null3"/>
            </w:pPr>
            <w:r>
              <w:rPr>
                <w:rFonts w:ascii="仿宋_GB2312" w:hAnsi="仿宋_GB2312" w:cs="仿宋_GB2312" w:eastAsia="仿宋_GB2312"/>
              </w:rPr>
              <w:t>1.供应商所提供的服务人员中有以下专业技能的（墓碑设计师、石材制品护理工、石材制品质检员、石材制品影雕工、石材工艺品雕刻工、石材制品安装工、石材制品打磨工），每个技能岗位每提供1人得一分，不重复计分，最高得7分，需提供相关合法证明资料复印件加盖公章。</w:t>
            </w:r>
          </w:p>
        </w:tc>
        <w:tc>
          <w:tcPr>
            <w:tcW w:type="dxa" w:w="831"/>
          </w:tcPr>
          <w:p>
            <w:pPr>
              <w:pStyle w:val="null3"/>
              <w:jc w:val="right"/>
            </w:pPr>
            <w:r>
              <w:rPr>
                <w:rFonts w:ascii="仿宋_GB2312" w:hAnsi="仿宋_GB2312" w:cs="仿宋_GB2312" w:eastAsia="仿宋_GB2312"/>
              </w:rPr>
              <w:t>7.0000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售后服务方案</w:t>
            </w:r>
          </w:p>
        </w:tc>
        <w:tc>
          <w:tcPr>
            <w:tcW w:type="dxa" w:w="2492"/>
          </w:tcPr>
          <w:p>
            <w:pPr>
              <w:pStyle w:val="null3"/>
            </w:pPr>
            <w:r>
              <w:rPr>
                <w:rFonts w:ascii="仿宋_GB2312" w:hAnsi="仿宋_GB2312" w:cs="仿宋_GB2312" w:eastAsia="仿宋_GB2312"/>
              </w:rPr>
              <w:t>评委根据各投标人提供的质保期及售后服务方案是否利于本项目实施进行综合评审： 投标人提供的售后服务方案科学、完整、合理、有针对性的得8分；投标人提供的售后服务方案较科学、较完整、较合理、较有针对性的得5分；投标人提供的售后服务方案一般的得2分；投标人提供的方案有缺项或未提供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进度保障方案</w:t>
            </w:r>
          </w:p>
        </w:tc>
        <w:tc>
          <w:tcPr>
            <w:tcW w:type="dxa" w:w="2492"/>
          </w:tcPr>
          <w:p>
            <w:pPr>
              <w:pStyle w:val="null3"/>
            </w:pPr>
            <w:r>
              <w:rPr>
                <w:rFonts w:ascii="仿宋_GB2312" w:hAnsi="仿宋_GB2312" w:cs="仿宋_GB2312" w:eastAsia="仿宋_GB2312"/>
              </w:rPr>
              <w:t>进度保障方案完整、有具体的保障措施、流程完善且针对性强，得6分；进度保障方案基本完整、有基本的保障措施，得4分；质量保证方案不完整、或不符合实际需求得2分，无方案得不得分。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技术方案</w:t>
            </w:r>
          </w:p>
        </w:tc>
        <w:tc>
          <w:tcPr>
            <w:tcW w:type="dxa" w:w="2492"/>
          </w:tcPr>
          <w:p>
            <w:pPr>
              <w:pStyle w:val="null3"/>
            </w:pPr>
            <w:r>
              <w:rPr>
                <w:rFonts w:ascii="仿宋_GB2312" w:hAnsi="仿宋_GB2312" w:cs="仿宋_GB2312" w:eastAsia="仿宋_GB2312"/>
              </w:rPr>
              <w:t>产品技术资料齐全，描述详尽，并提供检验报告或效果图、产品样册等， 产品尺寸、材质要求、制作工艺满足招标文件要求。 完全符合、响应招标文件要求，没有负偏离的得10分；有负偏离的每有1项扣0.5分，扣完为止。</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六、技术及商务偏离表.docx</w:t>
            </w:r>
          </w:p>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供应商提供近三年（2022年1月至今）类似项目业绩，每提供1份证明资料得0.5分，最多可得2分（时间以合同签定时间为准）。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九、技术方案说明.docx</w:t>
            </w:r>
          </w:p>
          <w:p>
            <w:pPr>
              <w:pStyle w:val="null3"/>
            </w:pPr>
            <w:r>
              <w:rPr>
                <w:rFonts w:ascii="仿宋_GB2312" w:hAnsi="仿宋_GB2312" w:cs="仿宋_GB2312" w:eastAsia="仿宋_GB2312"/>
              </w:rPr>
              <w:t>十、业绩.docx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价格分采用低价优先法计算，即满足招标文件要求且投标报价最低的投标报价(单价合计金额)为评标基准价，其价格分为满分。其他供应商的价格分统一按照下列公式计算： 投标报价得分=（评标基准价/投标报价）×价格权值</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p>
            <w:pPr>
              <w:pStyle w:val="null3"/>
            </w:pPr>
            <w:r>
              <w:rPr>
                <w:rFonts w:ascii="仿宋_GB2312" w:hAnsi="仿宋_GB2312" w:cs="仿宋_GB2312" w:eastAsia="仿宋_GB2312"/>
              </w:rPr>
              <w:t>六、技术及商务偏离表.docx</w:t>
            </w:r>
          </w:p>
          <w:p>
            <w:pPr>
              <w:pStyle w:val="null3"/>
            </w:pPr>
            <w:r>
              <w:rPr>
                <w:rFonts w:ascii="仿宋_GB2312" w:hAnsi="仿宋_GB2312" w:cs="仿宋_GB2312" w:eastAsia="仿宋_GB2312"/>
              </w:rPr>
              <w:t>八、中小企业声明函.docx</w:t>
            </w:r>
          </w:p>
          <w:p>
            <w:pPr>
              <w:pStyle w:val="null3"/>
            </w:pPr>
            <w:r>
              <w:rPr>
                <w:rFonts w:ascii="仿宋_GB2312" w:hAnsi="仿宋_GB2312" w:cs="仿宋_GB2312" w:eastAsia="仿宋_GB2312"/>
              </w:rPr>
              <w:t>十二、其他资料.docx</w:t>
            </w:r>
          </w:p>
          <w:p>
            <w:pPr>
              <w:pStyle w:val="null3"/>
            </w:pPr>
            <w:r>
              <w:rPr>
                <w:rFonts w:ascii="仿宋_GB2312" w:hAnsi="仿宋_GB2312" w:cs="仿宋_GB2312" w:eastAsia="仿宋_GB2312"/>
              </w:rPr>
              <w:t>四、分项报价表（1包）.docx</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加工实施方案</w:t>
            </w:r>
          </w:p>
        </w:tc>
        <w:tc>
          <w:tcPr>
            <w:tcW w:type="dxa" w:w="2492"/>
          </w:tcPr>
          <w:p>
            <w:pPr>
              <w:pStyle w:val="null3"/>
            </w:pPr>
            <w:r>
              <w:rPr>
                <w:rFonts w:ascii="仿宋_GB2312" w:hAnsi="仿宋_GB2312" w:cs="仿宋_GB2312" w:eastAsia="仿宋_GB2312"/>
              </w:rPr>
              <w:t>投标人应针对本次项目提供可行的加工实施方案（本项目为按采购人所需分批供货）。由评标委员会根据投标人提供的实施流程、运作机制、设计加工、人员配置等是否适于本项目实施进行评审： 投标人提供的加工实施方案科学、完整、合理、有针对性，人员配置完善的，得10分；投标人提供的加工实施方案较科学、较完整、较合理、较有针对性的，人员配置合理的，得8分；投标人提供的加工实施方案基本完整，人员配置基本合理的，得5分；投标人提供有具体的加工实施方案和人员配置方案的，得2分。未提供者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配送实施方案</w:t>
            </w:r>
          </w:p>
        </w:tc>
        <w:tc>
          <w:tcPr>
            <w:tcW w:type="dxa" w:w="2492"/>
          </w:tcPr>
          <w:p>
            <w:pPr>
              <w:pStyle w:val="null3"/>
            </w:pPr>
            <w:r>
              <w:rPr>
                <w:rFonts w:ascii="仿宋_GB2312" w:hAnsi="仿宋_GB2312" w:cs="仿宋_GB2312" w:eastAsia="仿宋_GB2312"/>
              </w:rPr>
              <w:t>投标人应针对本次项目提供详细的配送实施方案（本项目为按采购人所需分批供货）。由评标委员会根据投标人提供的配送实施方案进行评审： 投标人提供的配送方案详尽，合理，措施完善的，得10分；投标人提供的配送实施方案较详尽，较为合理，措施较好的，得8分；投标人提供的配送计划较完整，措施一般的，得5分；投标人提供有具体的配送实施方案，得2分。未提供者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成品评价</w:t>
            </w:r>
          </w:p>
        </w:tc>
        <w:tc>
          <w:tcPr>
            <w:tcW w:type="dxa" w:w="2492"/>
          </w:tcPr>
          <w:p>
            <w:pPr>
              <w:pStyle w:val="null3"/>
            </w:pPr>
            <w:r>
              <w:rPr>
                <w:rFonts w:ascii="仿宋_GB2312" w:hAnsi="仿宋_GB2312" w:cs="仿宋_GB2312" w:eastAsia="仿宋_GB2312"/>
              </w:rPr>
              <w:t>投标人应提供以往生产及设计的墓园墓碑产品图片与技术描述供评标委员会评审（提供3份）。评标委员会对成品从外观、设计、工艺、实用性等方面进行评价： 外观美观、设计科学、工艺完善、实用性高的，得10分；外观较美观、设计较科学、工艺较完善、实用性较高的，得8分；外观整洁、有一定的设计和工艺、有实用性的，得5分；提供成品照片和技术描述，但不详细完整的，得2分。未提供者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疑难问题及其他实质性建议</w:t>
            </w:r>
          </w:p>
        </w:tc>
        <w:tc>
          <w:tcPr>
            <w:tcW w:type="dxa" w:w="2492"/>
          </w:tcPr>
          <w:p>
            <w:pPr>
              <w:pStyle w:val="null3"/>
            </w:pPr>
            <w:r>
              <w:rPr>
                <w:rFonts w:ascii="仿宋_GB2312" w:hAnsi="仿宋_GB2312" w:cs="仿宋_GB2312" w:eastAsia="仿宋_GB2312"/>
              </w:rPr>
              <w:t>评标委员会根据投标人针对本项目履约过程中可能出现的疑难问题及解决方案以及其他利于项目实施的实质性建议进行评审： 问题分析详尽，解决方案完善，能够实质性有利于项目实施的，得7分；有具体问题分析，解决方案完整的，有利于项目实施的，得4分；提供有问题分析和解决方案的，得2分。未提供者不得分。</w:t>
            </w:r>
          </w:p>
        </w:tc>
        <w:tc>
          <w:tcPr>
            <w:tcW w:type="dxa" w:w="831"/>
          </w:tcPr>
          <w:p>
            <w:pPr>
              <w:pStyle w:val="null3"/>
              <w:jc w:val="right"/>
            </w:pPr>
            <w:r>
              <w:rPr>
                <w:rFonts w:ascii="仿宋_GB2312" w:hAnsi="仿宋_GB2312" w:cs="仿宋_GB2312" w:eastAsia="仿宋_GB2312"/>
              </w:rPr>
              <w:t>7.0000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服务团队</w:t>
            </w:r>
          </w:p>
        </w:tc>
        <w:tc>
          <w:tcPr>
            <w:tcW w:type="dxa" w:w="2492"/>
          </w:tcPr>
          <w:p>
            <w:pPr>
              <w:pStyle w:val="null3"/>
            </w:pPr>
            <w:r>
              <w:rPr>
                <w:rFonts w:ascii="仿宋_GB2312" w:hAnsi="仿宋_GB2312" w:cs="仿宋_GB2312" w:eastAsia="仿宋_GB2312"/>
              </w:rPr>
              <w:t>1.供应商所提供的服务人员中有以下专业技能的（墓碑设计师、石材制品护理工、石材制品质检员、石材制品影雕工、石材工艺品雕刻工、石材制品安装工、石材制品打磨工），每个技能岗位每提供1人得一分，不重复计分，最高得7分，需提供相关合法证明资料复印件加盖公章。</w:t>
            </w:r>
          </w:p>
        </w:tc>
        <w:tc>
          <w:tcPr>
            <w:tcW w:type="dxa" w:w="831"/>
          </w:tcPr>
          <w:p>
            <w:pPr>
              <w:pStyle w:val="null3"/>
              <w:jc w:val="right"/>
            </w:pPr>
            <w:r>
              <w:rPr>
                <w:rFonts w:ascii="仿宋_GB2312" w:hAnsi="仿宋_GB2312" w:cs="仿宋_GB2312" w:eastAsia="仿宋_GB2312"/>
              </w:rPr>
              <w:t>7.0000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售后服务方案</w:t>
            </w:r>
          </w:p>
        </w:tc>
        <w:tc>
          <w:tcPr>
            <w:tcW w:type="dxa" w:w="2492"/>
          </w:tcPr>
          <w:p>
            <w:pPr>
              <w:pStyle w:val="null3"/>
            </w:pPr>
            <w:r>
              <w:rPr>
                <w:rFonts w:ascii="仿宋_GB2312" w:hAnsi="仿宋_GB2312" w:cs="仿宋_GB2312" w:eastAsia="仿宋_GB2312"/>
              </w:rPr>
              <w:t>评委根据各投标人提供的质保期及售后服务方案是否利于本项目实施进行综合评审： 投标人提供的售后服务方案科学、完整、合理、有针对性的得8分；投标人提供的售后服务方案较科学、较完整、较合理、较有针对性的得5分；投标人提供的售后服务方案一般的得2分；投标人提供的方案有缺项或未提供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进度保障方案</w:t>
            </w:r>
          </w:p>
        </w:tc>
        <w:tc>
          <w:tcPr>
            <w:tcW w:type="dxa" w:w="2492"/>
          </w:tcPr>
          <w:p>
            <w:pPr>
              <w:pStyle w:val="null3"/>
            </w:pPr>
            <w:r>
              <w:rPr>
                <w:rFonts w:ascii="仿宋_GB2312" w:hAnsi="仿宋_GB2312" w:cs="仿宋_GB2312" w:eastAsia="仿宋_GB2312"/>
              </w:rPr>
              <w:t>进度保障方案完整、有具体的保障措施、流程完善且针对性强，得6分；进度保障方案基本完整、有基本的保障措施，得4分；质量保证方案不完整、或不符合实际需求得2分，无方案得不得分。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技术方案</w:t>
            </w:r>
          </w:p>
        </w:tc>
        <w:tc>
          <w:tcPr>
            <w:tcW w:type="dxa" w:w="2492"/>
          </w:tcPr>
          <w:p>
            <w:pPr>
              <w:pStyle w:val="null3"/>
            </w:pPr>
            <w:r>
              <w:rPr>
                <w:rFonts w:ascii="仿宋_GB2312" w:hAnsi="仿宋_GB2312" w:cs="仿宋_GB2312" w:eastAsia="仿宋_GB2312"/>
              </w:rPr>
              <w:t>产品技术资料齐全，描述详尽，并提供检验报告或效果图、产品样册等， 产品尺寸、材质要求、制作工艺满足招标文件要求。 完全符合、响应招标文件要求，没有负偏离的得10分；有负偏离的每有1项扣0.6分，扣完为止。</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六、技术及商务偏离表.docx</w:t>
            </w:r>
          </w:p>
          <w:p>
            <w:pPr>
              <w:pStyle w:val="null3"/>
            </w:pPr>
            <w:r>
              <w:rPr>
                <w:rFonts w:ascii="仿宋_GB2312" w:hAnsi="仿宋_GB2312" w:cs="仿宋_GB2312" w:eastAsia="仿宋_GB2312"/>
              </w:rPr>
              <w:t>九、技术方案说明.docx</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供应商提供近三年（2022年1月至今）类似项目业绩，每提供1份证明资料得0.5分，最多可得2分（时间以合同签定时间为准）。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九、技术方案说明.docx</w:t>
            </w:r>
          </w:p>
          <w:p>
            <w:pPr>
              <w:pStyle w:val="null3"/>
            </w:pPr>
            <w:r>
              <w:rPr>
                <w:rFonts w:ascii="仿宋_GB2312" w:hAnsi="仿宋_GB2312" w:cs="仿宋_GB2312" w:eastAsia="仿宋_GB2312"/>
              </w:rPr>
              <w:t>十、业绩.docx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价格分采用低价优先法计算，即满足招标文件要求且投标报价最低的投标报价(单价合计金额)为评标基准价，其价格分为满分。其他供应商的价格分统一按照下列公式计算： 投标报价得分=（评标基准价/投标报价）×价格权值</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分项报价表（2包）.docx</w:t>
            </w:r>
          </w:p>
          <w:p>
            <w:pPr>
              <w:pStyle w:val="null3"/>
            </w:pPr>
            <w:r>
              <w:rPr>
                <w:rFonts w:ascii="仿宋_GB2312" w:hAnsi="仿宋_GB2312" w:cs="仿宋_GB2312" w:eastAsia="仿宋_GB2312"/>
              </w:rPr>
              <w:t>六、技术及商务偏离表.docx</w:t>
            </w:r>
          </w:p>
          <w:p>
            <w:pPr>
              <w:pStyle w:val="null3"/>
            </w:pPr>
            <w:r>
              <w:rPr>
                <w:rFonts w:ascii="仿宋_GB2312" w:hAnsi="仿宋_GB2312" w:cs="仿宋_GB2312" w:eastAsia="仿宋_GB2312"/>
              </w:rPr>
              <w:t>八、中小企业声明函.docx</w:t>
            </w:r>
          </w:p>
          <w:p>
            <w:pPr>
              <w:pStyle w:val="null3"/>
            </w:pPr>
            <w:r>
              <w:rPr>
                <w:rFonts w:ascii="仿宋_GB2312" w:hAnsi="仿宋_GB2312" w:cs="仿宋_GB2312" w:eastAsia="仿宋_GB2312"/>
              </w:rPr>
              <w:t>十二、其他资料.docx</w:t>
            </w:r>
          </w:p>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2、评分标准中要求提供复印件的证明材料须清晰可辨。</w:t>
      </w:r>
    </w:p>
    <w:p>
      <w:pPr>
        <w:pStyle w:val="null3"/>
        <w:ind w:firstLine="480"/>
      </w:pPr>
      <w:r>
        <w:rPr>
          <w:rFonts w:ascii="仿宋_GB2312" w:hAnsi="仿宋_GB2312" w:cs="仿宋_GB2312" w:eastAsia="仿宋_GB2312"/>
        </w:rPr>
        <w:t xml:space="preserve"> 若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 不得发表倾向性、引导性意见，不得修改或细化采购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（五）在评审过程中和评审结束后，不得记录、复制或带走任何评审资料，除因配合答复处理供应商的询问、质疑和投诉等事项外，不得向外界透露评审内容。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（七）遵守有关廉洁自律规定，不得私下接触供应商， 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详见附件：二、法人授权书docx.docx</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详见附件：四、分项报价表（1包）.docx</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详见附件：六、技术及商务偏离表.docx</w:t>
      </w:r>
    </w:p>
    <w:p>
      <w:pPr>
        <w:pStyle w:val="null3"/>
        <w:ind w:firstLine="960"/>
      </w:pPr>
      <w:r>
        <w:rPr>
          <w:rFonts w:ascii="仿宋_GB2312" w:hAnsi="仿宋_GB2312" w:cs="仿宋_GB2312" w:eastAsia="仿宋_GB2312"/>
        </w:rPr>
        <w:t>详见附件：七、资格证明文件.docx</w:t>
      </w:r>
    </w:p>
    <w:p>
      <w:pPr>
        <w:pStyle w:val="null3"/>
        <w:ind w:firstLine="960"/>
      </w:pPr>
      <w:r>
        <w:rPr>
          <w:rFonts w:ascii="仿宋_GB2312" w:hAnsi="仿宋_GB2312" w:cs="仿宋_GB2312" w:eastAsia="仿宋_GB2312"/>
        </w:rPr>
        <w:t>详见附件：八、中小企业声明函.docx</w:t>
      </w:r>
    </w:p>
    <w:p>
      <w:pPr>
        <w:pStyle w:val="null3"/>
        <w:ind w:firstLine="960"/>
      </w:pPr>
      <w:r>
        <w:rPr>
          <w:rFonts w:ascii="仿宋_GB2312" w:hAnsi="仿宋_GB2312" w:cs="仿宋_GB2312" w:eastAsia="仿宋_GB2312"/>
        </w:rPr>
        <w:t>详见附件：九、技术方案说明.docx</w:t>
      </w:r>
    </w:p>
    <w:p>
      <w:pPr>
        <w:pStyle w:val="null3"/>
        <w:ind w:firstLine="960"/>
      </w:pPr>
      <w:r>
        <w:rPr>
          <w:rFonts w:ascii="仿宋_GB2312" w:hAnsi="仿宋_GB2312" w:cs="仿宋_GB2312" w:eastAsia="仿宋_GB2312"/>
        </w:rPr>
        <w:t>详见附件：十、业绩.docx</w:t>
      </w:r>
    </w:p>
    <w:p>
      <w:pPr>
        <w:pStyle w:val="null3"/>
        <w:ind w:firstLine="960"/>
      </w:pPr>
      <w:r>
        <w:rPr>
          <w:rFonts w:ascii="仿宋_GB2312" w:hAnsi="仿宋_GB2312" w:cs="仿宋_GB2312" w:eastAsia="仿宋_GB2312"/>
        </w:rPr>
        <w:t>详见附件：十一、供应商承诺书.docx</w:t>
      </w:r>
    </w:p>
    <w:p>
      <w:pPr>
        <w:pStyle w:val="null3"/>
        <w:ind w:firstLine="960"/>
      </w:pPr>
      <w:r>
        <w:rPr>
          <w:rFonts w:ascii="仿宋_GB2312" w:hAnsi="仿宋_GB2312" w:cs="仿宋_GB2312" w:eastAsia="仿宋_GB2312"/>
        </w:rPr>
        <w:t>详见附件：十二、其他资料.docx</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详见附件：二、法人授权书docx.docx</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详见附件：分项报价表（2包）.docx</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详见附件：六、技术及商务偏离表.docx</w:t>
      </w:r>
    </w:p>
    <w:p>
      <w:pPr>
        <w:pStyle w:val="null3"/>
        <w:ind w:firstLine="960"/>
      </w:pPr>
      <w:r>
        <w:rPr>
          <w:rFonts w:ascii="仿宋_GB2312" w:hAnsi="仿宋_GB2312" w:cs="仿宋_GB2312" w:eastAsia="仿宋_GB2312"/>
        </w:rPr>
        <w:t>详见附件：七、资格证明文件.docx</w:t>
      </w:r>
    </w:p>
    <w:p>
      <w:pPr>
        <w:pStyle w:val="null3"/>
        <w:ind w:firstLine="960"/>
      </w:pPr>
      <w:r>
        <w:rPr>
          <w:rFonts w:ascii="仿宋_GB2312" w:hAnsi="仿宋_GB2312" w:cs="仿宋_GB2312" w:eastAsia="仿宋_GB2312"/>
        </w:rPr>
        <w:t>详见附件：八、中小企业声明函.docx</w:t>
      </w:r>
    </w:p>
    <w:p>
      <w:pPr>
        <w:pStyle w:val="null3"/>
        <w:ind w:firstLine="960"/>
      </w:pPr>
      <w:r>
        <w:rPr>
          <w:rFonts w:ascii="仿宋_GB2312" w:hAnsi="仿宋_GB2312" w:cs="仿宋_GB2312" w:eastAsia="仿宋_GB2312"/>
        </w:rPr>
        <w:t>详见附件：九、技术方案说明.docx</w:t>
      </w:r>
    </w:p>
    <w:p>
      <w:pPr>
        <w:pStyle w:val="null3"/>
        <w:ind w:firstLine="960"/>
      </w:pPr>
      <w:r>
        <w:rPr>
          <w:rFonts w:ascii="仿宋_GB2312" w:hAnsi="仿宋_GB2312" w:cs="仿宋_GB2312" w:eastAsia="仿宋_GB2312"/>
        </w:rPr>
        <w:t>详见附件：十、业绩.docx</w:t>
      </w:r>
    </w:p>
    <w:p>
      <w:pPr>
        <w:pStyle w:val="null3"/>
        <w:ind w:firstLine="960"/>
      </w:pPr>
      <w:r>
        <w:rPr>
          <w:rFonts w:ascii="仿宋_GB2312" w:hAnsi="仿宋_GB2312" w:cs="仿宋_GB2312" w:eastAsia="仿宋_GB2312"/>
        </w:rPr>
        <w:t>详见附件：十一、供应商承诺书.docx</w:t>
      </w:r>
    </w:p>
    <w:p>
      <w:pPr>
        <w:pStyle w:val="null3"/>
        <w:ind w:firstLine="960"/>
      </w:pPr>
      <w:r>
        <w:rPr>
          <w:rFonts w:ascii="仿宋_GB2312" w:hAnsi="仿宋_GB2312" w:cs="仿宋_GB2312" w:eastAsia="仿宋_GB2312"/>
        </w:rPr>
        <w:t>详见附件：十二、其他资料.docx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拟签订合同文本</w:t>
      </w:r>
    </w:p>
    <w:p>
      <w:pPr>
        <w:pStyle w:val="null3"/>
      </w:pPr>
      <w:r>
        <w:rPr>
          <w:rFonts w:ascii="仿宋_GB2312" w:hAnsi="仿宋_GB2312" w:cs="仿宋_GB2312" w:eastAsia="仿宋_GB2312"/>
        </w:rPr>
        <w:t>详见附件：十三、合同.docx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jpeg" Type="http://schemas.openxmlformats.org/officeDocument/2006/relationships/image"/><Relationship Id="rId11" Target="media/image6.jpeg" Type="http://schemas.openxmlformats.org/officeDocument/2006/relationships/image"/><Relationship Id="rId12" Target="media/image7.jpeg" Type="http://schemas.openxmlformats.org/officeDocument/2006/relationships/image"/><Relationship Id="rId13" Target="media/image8.jpeg" Type="http://schemas.openxmlformats.org/officeDocument/2006/relationships/image"/><Relationship Id="rId14" Target="media/image9.jpeg" Type="http://schemas.openxmlformats.org/officeDocument/2006/relationships/image"/><Relationship Id="rId15" Target="media/image10.jpeg" Type="http://schemas.openxmlformats.org/officeDocument/2006/relationships/image"/><Relationship Id="rId16" Target="media/image11.jpeg" Type="http://schemas.openxmlformats.org/officeDocument/2006/relationships/image"/><Relationship Id="rId17" Target="media/image12.jpeg" Type="http://schemas.openxmlformats.org/officeDocument/2006/relationships/image"/><Relationship Id="rId18" Target="media/image13.jpeg" Type="http://schemas.openxmlformats.org/officeDocument/2006/relationships/image"/><Relationship Id="rId19" Target="media/image14.jpeg" Type="http://schemas.openxmlformats.org/officeDocument/2006/relationships/image"/><Relationship Id="rId2" Target="settings.xml" Type="http://schemas.openxmlformats.org/officeDocument/2006/relationships/settings"/><Relationship Id="rId20" Target="media/image15.jpeg" Type="http://schemas.openxmlformats.org/officeDocument/2006/relationships/image"/><Relationship Id="rId21" Target="media/image16.jpeg" Type="http://schemas.openxmlformats.org/officeDocument/2006/relationships/image"/><Relationship Id="rId22" Target="media/image17.jpeg" Type="http://schemas.openxmlformats.org/officeDocument/2006/relationships/image"/><Relationship Id="rId23" Target="media/image18.jpeg" Type="http://schemas.openxmlformats.org/officeDocument/2006/relationships/image"/><Relationship Id="rId24" Target="media/image19.jpeg" Type="http://schemas.openxmlformats.org/officeDocument/2006/relationships/image"/><Relationship Id="rId25" Target="media/image20.jpeg" Type="http://schemas.openxmlformats.org/officeDocument/2006/relationships/image"/><Relationship Id="rId26" Target="media/image21.jpeg" Type="http://schemas.openxmlformats.org/officeDocument/2006/relationships/image"/><Relationship Id="rId27" Target="media/image22.jpeg" Type="http://schemas.openxmlformats.org/officeDocument/2006/relationships/image"/><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jpeg" Type="http://schemas.openxmlformats.org/officeDocument/2006/relationships/image"/><Relationship Id="rId7" Target="media/image2.jpeg" Type="http://schemas.openxmlformats.org/officeDocument/2006/relationships/image"/><Relationship Id="rId8" Target="media/image3.jpeg" Type="http://schemas.openxmlformats.org/officeDocument/2006/relationships/image"/><Relationship Id="rId9" Target="media/image4.jpe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陕西省政府采购综合管理平台</dc:creator>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