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B0D6F2">
      <w:pPr>
        <w:shd w:val="clear" w:color="auto" w:fill="FFFFFF"/>
        <w:spacing w:line="360" w:lineRule="auto"/>
        <w:rPr>
          <w:b/>
          <w:sz w:val="36"/>
          <w:szCs w:val="36"/>
        </w:rPr>
      </w:pPr>
    </w:p>
    <w:p w14:paraId="5082D6AB">
      <w:pPr>
        <w:spacing w:line="500" w:lineRule="exact"/>
        <w:jc w:val="right"/>
        <w:rPr>
          <w:rFonts w:ascii="宋体" w:hAnsi="宋体" w:cs="宋体"/>
          <w:bCs/>
          <w:spacing w:val="-20"/>
          <w:sz w:val="32"/>
          <w:szCs w:val="32"/>
        </w:rPr>
      </w:pPr>
    </w:p>
    <w:p w14:paraId="4F2E2A82">
      <w:pPr>
        <w:spacing w:line="500" w:lineRule="exact"/>
        <w:jc w:val="right"/>
        <w:rPr>
          <w:rFonts w:cs="宋体" w:asciiTheme="minorEastAsia" w:hAnsiTheme="minorEastAsia" w:eastAsiaTheme="minorEastAsia"/>
          <w:bCs/>
          <w:spacing w:val="-20"/>
          <w:sz w:val="32"/>
          <w:szCs w:val="32"/>
        </w:rPr>
      </w:pPr>
      <w:r>
        <w:rPr>
          <w:rFonts w:hint="eastAsia" w:cs="宋体" w:asciiTheme="minorEastAsia" w:hAnsiTheme="minorEastAsia" w:eastAsiaTheme="minorEastAsia"/>
          <w:bCs/>
          <w:spacing w:val="-20"/>
          <w:sz w:val="32"/>
          <w:szCs w:val="32"/>
        </w:rPr>
        <w:t>合同编号：</w:t>
      </w:r>
      <w:r>
        <w:rPr>
          <w:rFonts w:hint="eastAsia" w:cs="宋体" w:asciiTheme="minorEastAsia" w:hAnsiTheme="minorEastAsia" w:eastAsiaTheme="minorEastAsia"/>
          <w:bCs/>
          <w:sz w:val="32"/>
          <w:szCs w:val="32"/>
        </w:rPr>
        <w:t>服务202 （ ）号</w:t>
      </w:r>
      <w:r>
        <w:rPr>
          <w:rFonts w:hint="eastAsia" w:cs="宋体" w:asciiTheme="minorEastAsia" w:hAnsiTheme="minorEastAsia" w:eastAsiaTheme="minorEastAsia"/>
          <w:bCs/>
          <w:spacing w:val="-20"/>
          <w:sz w:val="32"/>
          <w:szCs w:val="32"/>
        </w:rPr>
        <w:t xml:space="preserve">  </w:t>
      </w:r>
    </w:p>
    <w:p w14:paraId="3D232F36">
      <w:pPr>
        <w:spacing w:line="500" w:lineRule="exact"/>
        <w:jc w:val="right"/>
        <w:rPr>
          <w:rFonts w:asciiTheme="minorEastAsia" w:hAnsiTheme="minorEastAsia" w:eastAsiaTheme="minorEastAsia"/>
          <w:b/>
          <w:spacing w:val="-20"/>
          <w:sz w:val="32"/>
          <w:szCs w:val="32"/>
        </w:rPr>
      </w:pPr>
    </w:p>
    <w:p w14:paraId="4C57690E">
      <w:pPr>
        <w:spacing w:line="500" w:lineRule="exact"/>
        <w:jc w:val="right"/>
        <w:rPr>
          <w:rFonts w:asciiTheme="minorEastAsia" w:hAnsiTheme="minorEastAsia" w:eastAsiaTheme="minorEastAsia"/>
          <w:b/>
          <w:spacing w:val="-20"/>
          <w:sz w:val="32"/>
          <w:szCs w:val="32"/>
        </w:rPr>
      </w:pPr>
    </w:p>
    <w:p w14:paraId="4B6039B9">
      <w:pPr>
        <w:spacing w:line="500" w:lineRule="exact"/>
        <w:jc w:val="right"/>
        <w:rPr>
          <w:rFonts w:asciiTheme="minorEastAsia" w:hAnsiTheme="minorEastAsia" w:eastAsiaTheme="minorEastAsia"/>
          <w:b/>
          <w:spacing w:val="-20"/>
          <w:sz w:val="32"/>
          <w:szCs w:val="32"/>
        </w:rPr>
      </w:pPr>
    </w:p>
    <w:p w14:paraId="421B7DF7">
      <w:pPr>
        <w:spacing w:line="500" w:lineRule="exact"/>
        <w:jc w:val="right"/>
        <w:rPr>
          <w:rFonts w:asciiTheme="minorEastAsia" w:hAnsiTheme="minorEastAsia" w:eastAsiaTheme="minorEastAsia"/>
          <w:b/>
          <w:spacing w:val="-20"/>
          <w:sz w:val="32"/>
          <w:szCs w:val="32"/>
        </w:rPr>
      </w:pPr>
    </w:p>
    <w:p w14:paraId="7E296A20">
      <w:pPr>
        <w:spacing w:line="500" w:lineRule="exact"/>
        <w:jc w:val="right"/>
        <w:rPr>
          <w:rFonts w:asciiTheme="minorEastAsia" w:hAnsiTheme="minorEastAsia" w:eastAsiaTheme="minorEastAsia"/>
          <w:b/>
          <w:spacing w:val="-20"/>
          <w:sz w:val="32"/>
          <w:szCs w:val="32"/>
        </w:rPr>
      </w:pPr>
    </w:p>
    <w:p w14:paraId="73563F0B">
      <w:pPr>
        <w:spacing w:line="480" w:lineRule="auto"/>
        <w:jc w:val="center"/>
        <w:rPr>
          <w:rFonts w:asciiTheme="minorEastAsia" w:hAnsiTheme="minorEastAsia" w:eastAsiaTheme="minorEastAsia"/>
          <w:b/>
          <w:spacing w:val="-20"/>
          <w:sz w:val="48"/>
          <w:szCs w:val="48"/>
        </w:rPr>
      </w:pPr>
      <w:r>
        <w:rPr>
          <w:rFonts w:hint="eastAsia" w:asciiTheme="minorEastAsia" w:hAnsiTheme="minorEastAsia" w:eastAsiaTheme="minorEastAsia"/>
          <w:b/>
          <w:spacing w:val="-20"/>
          <w:sz w:val="48"/>
          <w:szCs w:val="48"/>
        </w:rPr>
        <w:t>西安市胸科医院</w:t>
      </w:r>
    </w:p>
    <w:p w14:paraId="54EE03E2">
      <w:pPr>
        <w:spacing w:line="480" w:lineRule="auto"/>
        <w:jc w:val="center"/>
        <w:rPr>
          <w:rFonts w:asciiTheme="minorEastAsia" w:hAnsiTheme="minorEastAsia" w:eastAsiaTheme="minorEastAsia"/>
          <w:b/>
          <w:spacing w:val="-20"/>
          <w:sz w:val="24"/>
        </w:rPr>
      </w:pPr>
    </w:p>
    <w:p w14:paraId="077CAE12">
      <w:pPr>
        <w:spacing w:line="480" w:lineRule="auto"/>
        <w:jc w:val="center"/>
        <w:rPr>
          <w:rFonts w:asciiTheme="minorEastAsia" w:hAnsiTheme="minorEastAsia" w:eastAsiaTheme="minorEastAsia"/>
          <w:b/>
          <w:sz w:val="48"/>
        </w:rPr>
      </w:pPr>
      <w:r>
        <w:rPr>
          <w:rFonts w:hint="eastAsia" w:asciiTheme="minorEastAsia" w:hAnsiTheme="minorEastAsia" w:eastAsiaTheme="minorEastAsia"/>
          <w:b/>
          <w:sz w:val="48"/>
        </w:rPr>
        <w:t>服 务 合 同</w:t>
      </w:r>
    </w:p>
    <w:p w14:paraId="70844EB7">
      <w:pPr>
        <w:spacing w:line="480" w:lineRule="auto"/>
        <w:jc w:val="center"/>
        <w:rPr>
          <w:rFonts w:asciiTheme="minorEastAsia" w:hAnsiTheme="minorEastAsia" w:eastAsiaTheme="minorEastAsia"/>
          <w:sz w:val="30"/>
        </w:rPr>
      </w:pPr>
    </w:p>
    <w:p w14:paraId="0BFFB6DC">
      <w:pPr>
        <w:spacing w:line="480" w:lineRule="auto"/>
        <w:jc w:val="center"/>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（项目名称：）</w:t>
      </w:r>
    </w:p>
    <w:p w14:paraId="71A85369">
      <w:pPr>
        <w:jc w:val="center"/>
        <w:rPr>
          <w:rFonts w:asciiTheme="minorEastAsia" w:hAnsiTheme="minorEastAsia" w:eastAsiaTheme="minorEastAsia"/>
          <w:sz w:val="30"/>
        </w:rPr>
      </w:pPr>
    </w:p>
    <w:p w14:paraId="146E365D">
      <w:pPr>
        <w:jc w:val="center"/>
        <w:rPr>
          <w:rFonts w:asciiTheme="minorEastAsia" w:hAnsiTheme="minorEastAsia" w:eastAsiaTheme="minorEastAsia"/>
          <w:sz w:val="30"/>
        </w:rPr>
      </w:pPr>
    </w:p>
    <w:p w14:paraId="1970E8BB">
      <w:pPr>
        <w:jc w:val="center"/>
        <w:rPr>
          <w:rFonts w:asciiTheme="minorEastAsia" w:hAnsiTheme="minorEastAsia" w:eastAsiaTheme="minorEastAsia"/>
          <w:sz w:val="30"/>
        </w:rPr>
      </w:pPr>
    </w:p>
    <w:p w14:paraId="19D3CA02">
      <w:pPr>
        <w:rPr>
          <w:rFonts w:asciiTheme="minorEastAsia" w:hAnsiTheme="minorEastAsia" w:eastAsiaTheme="minorEastAsia"/>
          <w:sz w:val="30"/>
        </w:rPr>
      </w:pPr>
    </w:p>
    <w:p w14:paraId="458E83CE">
      <w:pPr>
        <w:jc w:val="center"/>
        <w:rPr>
          <w:rFonts w:asciiTheme="minorEastAsia" w:hAnsiTheme="minorEastAsia" w:eastAsiaTheme="minorEastAsia"/>
          <w:sz w:val="30"/>
        </w:rPr>
      </w:pPr>
    </w:p>
    <w:p w14:paraId="6A4F2E84">
      <w:pPr>
        <w:snapToGrid w:val="0"/>
        <w:spacing w:line="480" w:lineRule="auto"/>
        <w:ind w:firstLine="1928" w:firstLineChars="600"/>
        <w:jc w:val="left"/>
        <w:rPr>
          <w:rFonts w:asciiTheme="minorEastAsia" w:hAnsiTheme="minorEastAsia" w:eastAsiaTheme="minorEastAsia"/>
          <w:b/>
          <w:sz w:val="32"/>
          <w:szCs w:val="32"/>
        </w:rPr>
      </w:pPr>
      <w:r>
        <w:rPr>
          <w:rFonts w:hint="eastAsia" w:asciiTheme="minorEastAsia" w:hAnsiTheme="minorEastAsia" w:eastAsiaTheme="minorEastAsia"/>
          <w:b/>
          <w:sz w:val="32"/>
          <w:szCs w:val="32"/>
        </w:rPr>
        <w:t>甲  方：西安市胸科医院</w:t>
      </w:r>
    </w:p>
    <w:p w14:paraId="543DD297">
      <w:pPr>
        <w:snapToGrid w:val="0"/>
        <w:spacing w:line="480" w:lineRule="auto"/>
        <w:ind w:firstLine="1928" w:firstLineChars="600"/>
        <w:jc w:val="left"/>
        <w:rPr>
          <w:rFonts w:asciiTheme="minorEastAsia" w:hAnsiTheme="minorEastAsia" w:eastAsiaTheme="minorEastAsia"/>
          <w:sz w:val="32"/>
          <w:szCs w:val="32"/>
        </w:rPr>
      </w:pPr>
      <w:r>
        <w:rPr>
          <w:rFonts w:hint="eastAsia" w:asciiTheme="minorEastAsia" w:hAnsiTheme="minorEastAsia" w:eastAsiaTheme="minorEastAsia"/>
          <w:b/>
          <w:sz w:val="32"/>
          <w:szCs w:val="32"/>
        </w:rPr>
        <w:t>乙  方：</w:t>
      </w:r>
      <w:r>
        <w:rPr>
          <w:rFonts w:asciiTheme="minorEastAsia" w:hAnsiTheme="minorEastAsia" w:eastAsiaTheme="minorEastAsia"/>
          <w:sz w:val="32"/>
          <w:szCs w:val="32"/>
        </w:rPr>
        <w:t xml:space="preserve"> </w:t>
      </w:r>
    </w:p>
    <w:p w14:paraId="14BDC6A1">
      <w:pPr>
        <w:snapToGrid w:val="0"/>
        <w:spacing w:line="480" w:lineRule="auto"/>
        <w:ind w:firstLine="1928" w:firstLineChars="600"/>
        <w:jc w:val="left"/>
        <w:rPr>
          <w:rFonts w:asciiTheme="minorEastAsia" w:hAnsiTheme="minorEastAsia" w:eastAsiaTheme="minorEastAsia"/>
          <w:b/>
          <w:sz w:val="32"/>
          <w:szCs w:val="32"/>
        </w:rPr>
      </w:pPr>
      <w:r>
        <w:rPr>
          <w:rFonts w:hint="eastAsia" w:asciiTheme="minorEastAsia" w:hAnsiTheme="minorEastAsia" w:eastAsiaTheme="minorEastAsia"/>
          <w:b/>
          <w:sz w:val="32"/>
          <w:szCs w:val="32"/>
        </w:rPr>
        <w:t>鉴证方：</w:t>
      </w:r>
    </w:p>
    <w:p w14:paraId="49DB164D">
      <w:pPr>
        <w:spacing w:line="500" w:lineRule="exact"/>
        <w:rPr>
          <w:rFonts w:asciiTheme="minorEastAsia" w:hAnsiTheme="minorEastAsia" w:eastAsiaTheme="minorEastAsia"/>
          <w:b/>
          <w:spacing w:val="-20"/>
          <w:sz w:val="32"/>
          <w:szCs w:val="32"/>
        </w:rPr>
      </w:pPr>
    </w:p>
    <w:p w14:paraId="192128EE">
      <w:pPr>
        <w:rPr>
          <w:rFonts w:asciiTheme="minorEastAsia" w:hAnsiTheme="minorEastAsia" w:eastAsiaTheme="minorEastAsia"/>
        </w:rPr>
      </w:pPr>
    </w:p>
    <w:p w14:paraId="2DCD10F9">
      <w:pPr>
        <w:pStyle w:val="3"/>
        <w:rPr>
          <w:rFonts w:asciiTheme="minorEastAsia" w:hAnsiTheme="minorEastAsia" w:eastAsiaTheme="minorEastAsia"/>
        </w:rPr>
      </w:pPr>
      <w:r>
        <w:rPr>
          <w:rFonts w:hint="eastAsia" w:asciiTheme="minorEastAsia" w:hAnsiTheme="minorEastAsia" w:eastAsiaTheme="minorEastAsia"/>
        </w:rPr>
        <w:t>消防维保服务合同</w:t>
      </w:r>
    </w:p>
    <w:p w14:paraId="67E612F4">
      <w:pPr>
        <w:rPr>
          <w:rFonts w:asciiTheme="minorEastAsia" w:hAnsiTheme="minorEastAsia" w:eastAsiaTheme="minorEastAsia"/>
          <w:sz w:val="24"/>
        </w:rPr>
      </w:pPr>
    </w:p>
    <w:p w14:paraId="48774F1A">
      <w:pPr>
        <w:snapToGrid w:val="0"/>
        <w:spacing w:line="360" w:lineRule="auto"/>
        <w:ind w:left="420"/>
        <w:rPr>
          <w:rFonts w:cs="宋体" w:asciiTheme="minorEastAsia" w:hAnsiTheme="minorEastAsia" w:eastAsiaTheme="minorEastAsia"/>
          <w:sz w:val="24"/>
          <w:u w:val="single"/>
        </w:rPr>
      </w:pPr>
      <w:r>
        <w:rPr>
          <w:rFonts w:hint="eastAsia" w:cs="宋体" w:asciiTheme="minorEastAsia" w:hAnsiTheme="minorEastAsia" w:eastAsiaTheme="minorEastAsia"/>
          <w:sz w:val="24"/>
          <w:szCs w:val="24"/>
        </w:rPr>
        <w:t>委托方(以下简称甲方):</w:t>
      </w:r>
      <w:r>
        <w:rPr>
          <w:rFonts w:hint="eastAsia" w:cs="宋体" w:asciiTheme="minorEastAsia" w:hAnsiTheme="minorEastAsia" w:eastAsiaTheme="minorEastAsia"/>
          <w:sz w:val="24"/>
          <w:szCs w:val="24"/>
          <w:u w:val="single"/>
        </w:rPr>
        <w:t xml:space="preserve">西安市胸科医院 </w:t>
      </w:r>
    </w:p>
    <w:p w14:paraId="3FC8B582">
      <w:pPr>
        <w:snapToGrid w:val="0"/>
        <w:spacing w:line="360" w:lineRule="auto"/>
        <w:ind w:left="42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 xml:space="preserve">服务方《以下简称乙方): </w:t>
      </w:r>
    </w:p>
    <w:p w14:paraId="1C6F3662">
      <w:pPr>
        <w:snapToGrid w:val="0"/>
        <w:spacing w:line="360" w:lineRule="auto"/>
        <w:ind w:left="420"/>
        <w:rPr>
          <w:rFonts w:cs="宋体" w:asciiTheme="minorEastAsia" w:hAnsiTheme="minorEastAsia" w:eastAsiaTheme="minorEastAsia"/>
          <w:sz w:val="24"/>
        </w:rPr>
      </w:pPr>
      <w:r>
        <w:rPr>
          <w:rFonts w:hint="eastAsia" w:cs="宋体" w:asciiTheme="minorEastAsia" w:hAnsiTheme="minorEastAsia" w:eastAsiaTheme="minorEastAsia"/>
          <w:sz w:val="24"/>
          <w:szCs w:val="24"/>
        </w:rPr>
        <w:t>鉴证方：</w:t>
      </w:r>
      <w:r>
        <w:rPr>
          <w:rFonts w:hint="eastAsia" w:cs="宋体" w:asciiTheme="minorEastAsia" w:hAnsiTheme="minorEastAsia" w:eastAsiaTheme="minorEastAsia"/>
          <w:sz w:val="24"/>
          <w:szCs w:val="24"/>
          <w:u w:val="single"/>
        </w:rPr>
        <w:t xml:space="preserve">            </w:t>
      </w:r>
      <w:r>
        <w:rPr>
          <w:rFonts w:hint="eastAsia" w:cs="宋体" w:asciiTheme="minorEastAsia" w:hAnsiTheme="minorEastAsia" w:eastAsiaTheme="minorEastAsia"/>
          <w:sz w:val="24"/>
          <w:szCs w:val="24"/>
        </w:rPr>
        <w:t xml:space="preserve"> </w:t>
      </w:r>
    </w:p>
    <w:p w14:paraId="31014D02">
      <w:pPr>
        <w:snapToGrid w:val="0"/>
        <w:spacing w:before="156" w:beforeLines="50" w:after="156" w:afterLines="50" w:line="380" w:lineRule="exact"/>
        <w:ind w:firstLine="42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一、为了使消防系统处于最佳的运行状态，真正起到自动报警和灭火的功能，以及对人身财产安全的保障，根据《中华人民共和国民法典)、《消防法)及其有关规定和本市消防安全的有关规定，甲方经组织院内议标确定乙方为2024年度全院建筑消防设施维护保养服务项目成交供应商，经双方友好协商，达成如下协议条款：</w:t>
      </w:r>
    </w:p>
    <w:p w14:paraId="30829E21">
      <w:pPr>
        <w:snapToGrid w:val="0"/>
        <w:spacing w:before="156" w:beforeLines="50" w:after="156" w:afterLines="50" w:line="380" w:lineRule="exact"/>
        <w:ind w:firstLine="42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二、项目名称:</w:t>
      </w:r>
    </w:p>
    <w:p w14:paraId="71A0810D">
      <w:pPr>
        <w:snapToGrid w:val="0"/>
        <w:spacing w:before="156" w:beforeLines="50" w:after="156" w:afterLines="50" w:line="380" w:lineRule="exact"/>
        <w:ind w:firstLine="42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三、项目地点</w:t>
      </w:r>
    </w:p>
    <w:p w14:paraId="18E281FA">
      <w:pPr>
        <w:snapToGrid w:val="0"/>
        <w:spacing w:before="156" w:beforeLines="50" w:after="156" w:afterLines="50" w:line="380" w:lineRule="exact"/>
        <w:ind w:left="420"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rPr>
        <w:t>陕西省西安市长安区航天大道东段杜陵西路2000号，西安市胸科医院（甲</w:t>
      </w:r>
      <w:r>
        <w:rPr>
          <w:rFonts w:hint="eastAsia" w:cs="宋体" w:asciiTheme="minorEastAsia" w:hAnsiTheme="minorEastAsia" w:eastAsiaTheme="minorEastAsia"/>
          <w:sz w:val="24"/>
          <w:szCs w:val="24"/>
          <w:highlight w:val="none"/>
        </w:rPr>
        <w:t>方指定地点）</w:t>
      </w:r>
    </w:p>
    <w:p w14:paraId="13BBE99B">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四、维护保养时间</w:t>
      </w:r>
    </w:p>
    <w:p w14:paraId="66102105">
      <w:pPr>
        <w:snapToGrid w:val="0"/>
        <w:spacing w:before="156" w:beforeLines="50" w:after="156" w:afterLines="50" w:line="380" w:lineRule="exact"/>
        <w:ind w:firstLine="720" w:firstLineChars="3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维护保养时间共12个月，自合同双方签字、盖章之日起即为生效。</w:t>
      </w:r>
    </w:p>
    <w:p w14:paraId="0A7CD052">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五、费用及付款:</w:t>
      </w:r>
    </w:p>
    <w:p w14:paraId="00D99555">
      <w:pPr>
        <w:pStyle w:val="2"/>
        <w:ind w:firstLine="480" w:firstLineChars="200"/>
        <w:rPr>
          <w:rFonts w:eastAsiaTheme="minorEastAsia"/>
          <w:highlight w:val="none"/>
        </w:rPr>
      </w:pPr>
      <w:r>
        <w:rPr>
          <w:rFonts w:hint="eastAsia" w:cs="宋体" w:asciiTheme="minorEastAsia" w:hAnsiTheme="minorEastAsia" w:eastAsiaTheme="minorEastAsia"/>
          <w:sz w:val="24"/>
          <w:szCs w:val="24"/>
          <w:highlight w:val="none"/>
        </w:rPr>
        <w:t>合同金额：合同总价包括但不限于人工、工具、耗材（其他维修200元以内耗材）管理、税金等与合同有关的一切费用。</w:t>
      </w:r>
    </w:p>
    <w:p w14:paraId="498CE434">
      <w:pPr>
        <w:snapToGrid w:val="0"/>
        <w:spacing w:line="380" w:lineRule="exact"/>
        <w:ind w:firstLine="480" w:firstLineChars="200"/>
        <w:rPr>
          <w:rFonts w:asciiTheme="minorEastAsia" w:hAnsiTheme="minorEastAsia" w:eastAsiaTheme="minorEastAsia"/>
          <w:sz w:val="24"/>
          <w:szCs w:val="24"/>
          <w:highlight w:val="none"/>
        </w:rPr>
      </w:pPr>
      <w:r>
        <w:rPr>
          <w:rFonts w:hint="eastAsia" w:asciiTheme="minorEastAsia" w:hAnsiTheme="minorEastAsia" w:eastAsiaTheme="minorEastAsia"/>
          <w:sz w:val="24"/>
          <w:szCs w:val="24"/>
          <w:highlight w:val="none"/>
        </w:rPr>
        <w:t>合同签订后，每季度服务结束验收合格后，乙方向甲方提出申请并提供维保记录</w:t>
      </w:r>
      <w:r>
        <w:rPr>
          <w:rFonts w:hint="eastAsia" w:asciiTheme="minorEastAsia" w:hAnsiTheme="minorEastAsia" w:eastAsiaTheme="minorEastAsia"/>
          <w:sz w:val="24"/>
          <w:szCs w:val="24"/>
          <w:highlight w:val="none"/>
          <w:lang w:eastAsia="zh-CN"/>
        </w:rPr>
        <w:t>及</w:t>
      </w:r>
      <w:r>
        <w:rPr>
          <w:rFonts w:hint="eastAsia" w:asciiTheme="minorEastAsia" w:hAnsiTheme="minorEastAsia" w:eastAsiaTheme="minorEastAsia"/>
          <w:sz w:val="24"/>
          <w:szCs w:val="24"/>
          <w:highlight w:val="none"/>
        </w:rPr>
        <w:t>等额正规发票后30日内，甲方向乙方支付合同总金额的25%；第四季度结束后，由乙方提出申请，甲方组织对乙方服务情况进行评价验收，验收合格后，乙方提供等额正规发票后30日内，甲方向乙方支付合同总金额的25%。</w:t>
      </w:r>
    </w:p>
    <w:p w14:paraId="33D50BCE">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六、维护保养的具体内容</w:t>
      </w:r>
    </w:p>
    <w:p w14:paraId="6DB16BAF">
      <w:pPr>
        <w:pStyle w:val="2"/>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包含全年消防设施维修保养、消防设施年度检测、消防维保驻场人员。合同签订，乙方进场维保前，提供本项目在“社会消防技术服务信息系统”及“小蜜蜂消防平台”录入截图。</w:t>
      </w:r>
    </w:p>
    <w:p w14:paraId="4FF36198">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1、火灾自动报警系统</w:t>
      </w:r>
    </w:p>
    <w:p w14:paraId="761128C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1.对消防火灾报警控制器进行每月一次自检功能检查。</w:t>
      </w:r>
    </w:p>
    <w:p w14:paraId="474CB7A8">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2.对可测量的相关参数每月一次进行查看记录，如回路电流等。</w:t>
      </w:r>
    </w:p>
    <w:p w14:paraId="3D968225">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3.每月一次检查公共场所的烟感器、温感器安装是否牢固，底座接线是否良好，外观是否洁净完好。</w:t>
      </w:r>
    </w:p>
    <w:p w14:paraId="67BC326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 每个月一次各抽取不低于5％的烟感和温感，进行喷烟或加热后查看报警是否正确。</w:t>
      </w:r>
    </w:p>
    <w:p w14:paraId="49B65D29">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5.每个月检查一次手动报警按钮是否牢固，有无破损或丢失。并抽取不低于5％手动报警按钮，测试报警功能是否正常。</w:t>
      </w:r>
    </w:p>
    <w:p w14:paraId="11336B3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6. 对联动控制柜的按钮每半个月不低于5％的比例进行功能试验。</w:t>
      </w:r>
    </w:p>
    <w:p w14:paraId="1E6DA713">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7. 每个月一次对火灾报警控制柜和联动控制柜等进行清扫除尘。并对自检、消音、复位功能检查；主电源与备用电源切换、报警检查。</w:t>
      </w:r>
    </w:p>
    <w:p w14:paraId="73647494">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8.做好日常记录。</w:t>
      </w:r>
    </w:p>
    <w:p w14:paraId="016B295C">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2、防排送风系统</w:t>
      </w:r>
    </w:p>
    <w:p w14:paraId="78B28C0C">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 每月一次检查电机接地是否良好。</w:t>
      </w:r>
    </w:p>
    <w:p w14:paraId="6C48E92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 每月一次检查及牢固各部分松动的螺丝及联轴器。</w:t>
      </w:r>
    </w:p>
    <w:p w14:paraId="6A86C7BB">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 每月一次检测电动机的绝缘电阻、主回路接触点。</w:t>
      </w:r>
    </w:p>
    <w:p w14:paraId="1174E64C">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 每月一次调整皮带松紧，确保转动良好。</w:t>
      </w:r>
    </w:p>
    <w:p w14:paraId="46FE7CC1">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5. 每月一次检查与更换各结合面间的垫片和密封填料。</w:t>
      </w:r>
    </w:p>
    <w:p w14:paraId="29E7F01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6. 每月一次清洁电机及风滤器和机壳内部。</w:t>
      </w:r>
    </w:p>
    <w:p w14:paraId="58189EFE">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7. 每月一次向转动部位加润滑油，保证联轴器及轴承的灵活性及稳定性。</w:t>
      </w:r>
    </w:p>
    <w:p w14:paraId="07E11038">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8. 每月一次检查调节阀的机械开闭动作，开闭角度标志。</w:t>
      </w:r>
    </w:p>
    <w:p w14:paraId="53DD7E49">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9. 每月一次手动开机测定三相电流值，检查指示灯电压、电流表，保证风机各部件运行正常。</w:t>
      </w:r>
    </w:p>
    <w:p w14:paraId="081478B1">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10. 每月一次对各遥控点的控制箱（含箱内元件）进行全面检查，保证各点遥控的正确性、可靠性。</w:t>
      </w:r>
    </w:p>
    <w:p w14:paraId="1C694F61">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11.对风机每半个月进行一次连续运转5—7分钟的验证，确保风机运转正常。</w:t>
      </w:r>
    </w:p>
    <w:p w14:paraId="5FB56F03">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12. 每月一次检查及保证各控制箱内的电器触点及各接线端子无松动、锈蚀现象。</w:t>
      </w:r>
    </w:p>
    <w:p w14:paraId="6BF4AD2F">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13. 每月一次检查排烟阀微动开关及内部接线端子，端子无松动，微动开关固定良好。</w:t>
      </w:r>
    </w:p>
    <w:p w14:paraId="57CDAFF3">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14. 每月一次检查远控排烟阀复位按钮、导轮、钢丝、转轴，并按期给导轮、钢丝、转轴加油，排烟阀开启灵活。</w:t>
      </w:r>
    </w:p>
    <w:p w14:paraId="2C2ED24E">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15. 每月一次检查各送风口百叶窗，送风口百叶位置正确。</w:t>
      </w:r>
    </w:p>
    <w:p w14:paraId="108C393A">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3、应急照明及疏散指示</w:t>
      </w:r>
    </w:p>
    <w:p w14:paraId="4A740A63">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1.应急灯应每3个月进行一次备用电池亮灯（半小时）保养，延长电池寿命。</w:t>
      </w:r>
    </w:p>
    <w:p w14:paraId="26FAF91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2.每月一次检查及保证出口指示灯处于正常状态。</w:t>
      </w:r>
    </w:p>
    <w:p w14:paraId="7F44D08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3.及时对出口指示灯及疏散指示牌进行安装牢固，每月进行一次全面检查。</w:t>
      </w:r>
    </w:p>
    <w:p w14:paraId="35AB9D1F">
      <w:pPr>
        <w:spacing w:before="156" w:beforeLines="50" w:after="156" w:afterLines="50"/>
        <w:ind w:left="559" w:leftChars="266"/>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 每月一次对灯箱外壳及面板进行洁净。</w:t>
      </w:r>
      <w:r>
        <w:rPr>
          <w:rFonts w:hint="eastAsia" w:cs="仿宋_GB2312" w:asciiTheme="minorEastAsia" w:hAnsiTheme="minorEastAsia" w:eastAsiaTheme="minorEastAsia"/>
          <w:kern w:val="0"/>
          <w:sz w:val="24"/>
          <w:szCs w:val="24"/>
          <w:highlight w:val="none"/>
        </w:rPr>
        <w:br w:type="textWrapping"/>
      </w:r>
      <w:r>
        <w:rPr>
          <w:rFonts w:hint="eastAsia" w:cs="仿宋_GB2312" w:asciiTheme="minorEastAsia" w:hAnsiTheme="minorEastAsia" w:eastAsiaTheme="minorEastAsia"/>
          <w:kern w:val="0"/>
          <w:sz w:val="24"/>
          <w:szCs w:val="24"/>
          <w:highlight w:val="none"/>
        </w:rPr>
        <w:t>5.院内应急照明、指示灯、标识等脱落，需24小时之内到场响应解决。</w:t>
      </w:r>
    </w:p>
    <w:p w14:paraId="233CEC25">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4、室外消火栓</w:t>
      </w:r>
    </w:p>
    <w:p w14:paraId="7AD1284B">
      <w:pPr>
        <w:bidi w:val="0"/>
        <w:ind w:firstLine="720" w:firstLineChars="300"/>
        <w:rPr>
          <w:sz w:val="24"/>
          <w:szCs w:val="24"/>
          <w:highlight w:val="none"/>
        </w:rPr>
      </w:pPr>
      <w:r>
        <w:rPr>
          <w:rFonts w:hint="eastAsia"/>
          <w:sz w:val="24"/>
          <w:szCs w:val="24"/>
          <w:highlight w:val="none"/>
        </w:rPr>
        <w:t>每月对全院室外消火栓进行一次全面检</w:t>
      </w:r>
      <w:r>
        <w:rPr>
          <w:rFonts w:hint="eastAsia"/>
          <w:sz w:val="24"/>
          <w:szCs w:val="24"/>
          <w:highlight w:val="none"/>
          <w:lang w:val="en-US" w:eastAsia="zh-CN"/>
        </w:rPr>
        <w:t>查</w:t>
      </w:r>
      <w:r>
        <w:rPr>
          <w:rFonts w:hint="eastAsia"/>
          <w:sz w:val="24"/>
          <w:szCs w:val="24"/>
          <w:highlight w:val="none"/>
        </w:rPr>
        <w:t>：</w:t>
      </w:r>
    </w:p>
    <w:p w14:paraId="53475EF6">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1.室外消火栓要求阀门启闭灵活，不漏水。</w:t>
      </w:r>
    </w:p>
    <w:p w14:paraId="1618F532">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2.检查水流指示器动作灵敏度。</w:t>
      </w:r>
    </w:p>
    <w:p w14:paraId="3569A2A6">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3.检查水流指示器接线端子，触点牢固无锈蚀。</w:t>
      </w:r>
    </w:p>
    <w:p w14:paraId="4EF4613E">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5、室内消火栓</w:t>
      </w:r>
    </w:p>
    <w:p w14:paraId="13C13DD5">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1.每月对全院室内消火栓进行一次全面检查，检查消火栓内配件是否齐全，灭火器完好情况，消火栓门、玻璃有无损坏。</w:t>
      </w:r>
    </w:p>
    <w:p w14:paraId="1CE3CCF5">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2.每半个月抽取消火栓总数的5％测试，消火栓报警按钮在消防中心应有正确的报警显示；箱内各元件保持良好，无渗漏现象。</w:t>
      </w:r>
    </w:p>
    <w:p w14:paraId="0617A2E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3.每个月检查数量不低于5％的消防水带。查水带有无破损、发霉、发黑，如有要及时更换或处理；自救软管的耐压程度及水阀状态良好。</w:t>
      </w:r>
    </w:p>
    <w:p w14:paraId="2D6FF37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4.每半个月对消防水泵进行启动运转试验，并对消防泵进行消火栓按钮联动启泵试验。</w:t>
      </w:r>
    </w:p>
    <w:p w14:paraId="69842E9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5.每半个月对系统上所有的控制阀门进行检查，保证控制阀门处于正常工作状态。</w:t>
      </w:r>
    </w:p>
    <w:p w14:paraId="6E2D5358">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6.消火栓水管及各闸阀要保持使用良好，水枪、水带接头连接要方便牢固，</w:t>
      </w:r>
    </w:p>
    <w:p w14:paraId="291D013E">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7.每半年抽取100％的消火栓进行出水检查。</w:t>
      </w:r>
    </w:p>
    <w:p w14:paraId="0AEC901E">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8.每月一次检查接口垫圈要完好无缺，支架牢固灵活，掉漆部位要重新补刷。</w:t>
      </w:r>
    </w:p>
    <w:p w14:paraId="349B8F0C">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9.每月一次检测消防水池、高位水箱内的水位是否满足设计要求。</w:t>
      </w:r>
    </w:p>
    <w:p w14:paraId="29C7516F">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10.对灭火器的检查，要保持压力表指针在绿色区域，零部件和铅封完好。</w:t>
      </w:r>
    </w:p>
    <w:p w14:paraId="14C18637">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11.制作“检查标签卡”，并做好检查记录。</w:t>
      </w:r>
    </w:p>
    <w:p w14:paraId="1898EA66">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6、自动喷淋系统</w:t>
      </w:r>
    </w:p>
    <w:p w14:paraId="33832075">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 xml:space="preserve">1.每季度检查一次各楼层喷淋末端压力表指示，按25％比例测试信号阀关闭信号指示，按30％比例进行放水试验。 </w:t>
      </w:r>
    </w:p>
    <w:p w14:paraId="48B9572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2.每季度对湿式报警阀、雨淋阀进行放水试验，能启动喷淋泵、雨淋泵，水力警铃响亮。</w:t>
      </w:r>
    </w:p>
    <w:p w14:paraId="3BB6928F">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3.每季度检查喷淋头一次，表面无油灰，无渗漏。</w:t>
      </w:r>
    </w:p>
    <w:p w14:paraId="13ACACBB">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4.每季度一次对消防喷淋管网进行防锈处理（刷防锈漆）。</w:t>
      </w:r>
    </w:p>
    <w:p w14:paraId="1A7F36B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5.每半个月对喷淋水泵进行启动运转试验1次，确保处于无故障状态。</w:t>
      </w:r>
    </w:p>
    <w:p w14:paraId="4A815E98">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7、防火卷帘（二级保养）</w:t>
      </w:r>
    </w:p>
    <w:p w14:paraId="0DF0F24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1.每半个月启动一次防火卷帘，确保防火卷帘升降平稳，无阻滞。</w:t>
      </w:r>
    </w:p>
    <w:p w14:paraId="5A2E23DC">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2.每半个月检查控制箱内各电器触点及各接线端子，保证无松动，无锈蚀。</w:t>
      </w:r>
    </w:p>
    <w:p w14:paraId="3D6A4917">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3.每半年检查一次机械部分，包括齿轮、锋条。除锈加润滑油保护。</w:t>
      </w:r>
    </w:p>
    <w:p w14:paraId="585914F6">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8、消防电话通讯系统</w:t>
      </w:r>
    </w:p>
    <w:p w14:paraId="30B79C6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1.维修保养工作内容</w:t>
      </w:r>
    </w:p>
    <w:p w14:paraId="1049C20E">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（1）检查消防专用电话或插孔是否完好；</w:t>
      </w:r>
    </w:p>
    <w:p w14:paraId="163BEACE">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（2）定期试验每个消防专用电话或插孔的通讯是否畅通，语音是否清晰、响亮，消防中心电话主机显示通话部位是否正确。</w:t>
      </w:r>
    </w:p>
    <w:p w14:paraId="514859D6">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2.维修保养工作标准</w:t>
      </w:r>
    </w:p>
    <w:p w14:paraId="3BB6C92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（1）消防专用电话或插孔外观完好、清洁；</w:t>
      </w:r>
    </w:p>
    <w:p w14:paraId="0C646263">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（2）消防专用电话通讯畅通，语音清晰、响亮，消防中心电话主机显示通话部位正确。</w:t>
      </w:r>
    </w:p>
    <w:p w14:paraId="71340885">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3.维修保养工作计划</w:t>
      </w:r>
    </w:p>
    <w:p w14:paraId="09631D8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（1）每周检查消防专用电话或插孔是否完好；</w:t>
      </w:r>
    </w:p>
    <w:p w14:paraId="0C982B6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（2）每季定期试验每个电话或插孔的通讯是否畅通，语音是否清晰、响亮，消防中心电话主机显示部位是否正确。</w:t>
      </w:r>
    </w:p>
    <w:p w14:paraId="0C7738E9">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9、消防广播系统</w:t>
      </w:r>
    </w:p>
    <w:p w14:paraId="20E90754">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每月进行一次检查维修保养：</w:t>
      </w:r>
    </w:p>
    <w:p w14:paraId="5CEC78C7">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1.检查各切换器、继电器的接线和触点，成件完整、牢固、接触良好，切换器灵活、可靠。</w:t>
      </w:r>
    </w:p>
    <w:p w14:paraId="73921D3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2.调节音量控制器的音量变化处于正常状态。</w:t>
      </w:r>
    </w:p>
    <w:p w14:paraId="460A286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3.话筒及话筒放大器音量，音质正常。</w:t>
      </w:r>
    </w:p>
    <w:p w14:paraId="1568C23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4.磁带机或CD机的运转和音质正常。</w:t>
      </w:r>
    </w:p>
    <w:p w14:paraId="55022956">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5.各楼层呼叫控制器的开关工作正常，要求灵活可靠</w:t>
      </w:r>
    </w:p>
    <w:p w14:paraId="7DBE7768">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10、消防联动系统</w:t>
      </w:r>
    </w:p>
    <w:p w14:paraId="18E14A9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1.维修保养工作内容</w:t>
      </w:r>
    </w:p>
    <w:p w14:paraId="54FECBE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（1）检查试验消防正压送风机（排烟风机）及正压送风阀（排烟阀）的联动功能是否正常；</w:t>
      </w:r>
    </w:p>
    <w:p w14:paraId="08273EF9">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（2）测试空调通风系统、排风系统的防火阀功能及联动讯号功能是否正常；</w:t>
      </w:r>
    </w:p>
    <w:p w14:paraId="447242EC">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（3）测试消防电梯的人工迫降的信号功能是否正常；</w:t>
      </w:r>
    </w:p>
    <w:p w14:paraId="46C8D204">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（4）测试非消防电梯迫降首层的信号和联锁信号功能是否正常；</w:t>
      </w:r>
    </w:p>
    <w:p w14:paraId="183EAC79">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（5）测试以上各联动机构消防中心相应控制屏的讯号是否正常；</w:t>
      </w:r>
    </w:p>
    <w:p w14:paraId="3FCA1F4E">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（6）测试楼层非消防电源自动切断功能是否正常；</w:t>
      </w:r>
    </w:p>
    <w:p w14:paraId="5839E53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（7）检查试验联动警铃的功能是否正常；</w:t>
      </w:r>
    </w:p>
    <w:p w14:paraId="05270E03">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（8）检查试验联动广播的功能是否正常；</w:t>
      </w:r>
    </w:p>
    <w:p w14:paraId="55EEE4F6">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（9）测试正压送风机（排烟风机）现场和远程启停控制功能是否正常；</w:t>
      </w:r>
    </w:p>
    <w:p w14:paraId="2AFCD3A8">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（10）对正压送风机（排烟风机）、正压送风阀（排烟阀）进行保养，对转动部位加润滑油并调整风机皮带松紧度等。</w:t>
      </w:r>
    </w:p>
    <w:p w14:paraId="017A4069">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2.维修保养工作标准</w:t>
      </w:r>
    </w:p>
    <w:p w14:paraId="13ACB77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（1）风机风阀联动功能正常，动作准确；</w:t>
      </w:r>
    </w:p>
    <w:p w14:paraId="2539B87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（2）防火阀阀体和易熔片完好，控制及反馈信号通讯畅通正常；</w:t>
      </w:r>
    </w:p>
    <w:p w14:paraId="0D9AFB97">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（3）消防电梯人工迫降功能正常；</w:t>
      </w:r>
    </w:p>
    <w:p w14:paraId="6552EC5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（4）联动试验时有迫降电梯的信号输出，电压符合要求；</w:t>
      </w:r>
    </w:p>
    <w:p w14:paraId="5627624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（5）各联动设备与消防中心控制屏或联动柜的功能正常；</w:t>
      </w:r>
    </w:p>
    <w:p w14:paraId="39C13663">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（6）联动楼层非消防电源自动切断功能正常；</w:t>
      </w:r>
    </w:p>
    <w:p w14:paraId="1EE22A3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（7）联动警铃的功能正常；</w:t>
      </w:r>
    </w:p>
    <w:p w14:paraId="371F32AA">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（8）联动广播的功能正常；</w:t>
      </w:r>
    </w:p>
    <w:p w14:paraId="03A93B06">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（9）现场和远程启、停风机的控制功能正常；</w:t>
      </w:r>
    </w:p>
    <w:p w14:paraId="44FE6049">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（10）风机运行平稳，噪声低，风量、风压达到要求，风阀开、关灵活，密封性好，风机皮带松紧度适中。</w:t>
      </w:r>
    </w:p>
    <w:p w14:paraId="4A1F9BAE">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3.维修保养工作计划</w:t>
      </w:r>
    </w:p>
    <w:p w14:paraId="2B5F4BA1">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（1）每半个月检查试验消防正压送风机（排烟风机）及正压送风阀（排烟阀）的联动功能是否正常；</w:t>
      </w:r>
    </w:p>
    <w:p w14:paraId="4E99D5B2">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（2）每季测试空调通风系统、排风系统的防火阀功能及联动讯号功能是否正常；</w:t>
      </w:r>
    </w:p>
    <w:p w14:paraId="464CB297">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（3）每季测试消防电梯的人工迫降的信号功能是否正常；</w:t>
      </w:r>
    </w:p>
    <w:p w14:paraId="78C0847F">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（4）每季测试非消防电梯迫降首层的信号和联锁信号功能是否正常；</w:t>
      </w:r>
    </w:p>
    <w:p w14:paraId="4B934DB5">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（5）每季测试以上各联动机构消防中心相应控制屏的讯号是否正常；</w:t>
      </w:r>
    </w:p>
    <w:p w14:paraId="622ADF2B">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（6）每季测试楼层非消防电源自动切断功能是否正常；</w:t>
      </w:r>
    </w:p>
    <w:p w14:paraId="6AC49106">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（7）每季检查试验联动警铃的功能是否正常；</w:t>
      </w:r>
    </w:p>
    <w:p w14:paraId="7705B9CB">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（10）每季检查试验联动广播的功能是否正常；</w:t>
      </w:r>
    </w:p>
    <w:p w14:paraId="14B38106">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（11）每半个月测试正压送风机（排烟风机）就地和远程启停控制功能是否正常；</w:t>
      </w:r>
    </w:p>
    <w:p w14:paraId="75700210">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（12）每季定期对正压送风机（排烟风机）、正压送风阀（排烟阀）进行保养，对转动部位加润滑油并调整皮带松紧度等；</w:t>
      </w:r>
    </w:p>
    <w:p w14:paraId="59FD51AD">
      <w:pPr>
        <w:spacing w:before="156" w:beforeLines="50" w:after="156" w:afterLines="50"/>
        <w:rPr>
          <w:rFonts w:cs="仿宋_GB2312" w:asciiTheme="minorEastAsia" w:hAnsiTheme="minorEastAsia" w:eastAsiaTheme="minorEastAsia"/>
          <w:b/>
          <w:sz w:val="24"/>
          <w:szCs w:val="24"/>
          <w:highlight w:val="none"/>
        </w:rPr>
      </w:pPr>
      <w:r>
        <w:rPr>
          <w:rFonts w:hint="eastAsia" w:cs="仿宋_GB2312" w:asciiTheme="minorEastAsia" w:hAnsiTheme="minorEastAsia" w:eastAsiaTheme="minorEastAsia"/>
          <w:b/>
          <w:sz w:val="24"/>
          <w:szCs w:val="24"/>
          <w:highlight w:val="none"/>
        </w:rPr>
        <w:t>11、定期开展消防培训工作与内容：</w:t>
      </w:r>
    </w:p>
    <w:p w14:paraId="27181BD4">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每个季度配合保卫科组织相关人员的消防培训演练。</w:t>
      </w:r>
    </w:p>
    <w:p w14:paraId="4C35506D">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培训内容：</w:t>
      </w:r>
    </w:p>
    <w:p w14:paraId="2022BDD5">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1.消防基础知识培训；</w:t>
      </w:r>
    </w:p>
    <w:p w14:paraId="13296515">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2.熟练掌握灭火器的使用方法及常规的相关灭火方法;</w:t>
      </w:r>
    </w:p>
    <w:p w14:paraId="7939B53B">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3.开展对相关人员进行消防设备常规的使用方法及操作的培训；</w:t>
      </w:r>
    </w:p>
    <w:p w14:paraId="7A421231">
      <w:pPr>
        <w:spacing w:before="156" w:beforeLines="50" w:after="156" w:afterLines="50"/>
        <w:ind w:firstLine="480" w:firstLineChars="200"/>
        <w:rPr>
          <w:rFonts w:cs="仿宋_GB2312" w:asciiTheme="minorEastAsia" w:hAnsiTheme="minorEastAsia" w:eastAsiaTheme="minorEastAsia"/>
          <w:kern w:val="0"/>
          <w:sz w:val="24"/>
          <w:szCs w:val="24"/>
          <w:highlight w:val="none"/>
        </w:rPr>
      </w:pPr>
      <w:r>
        <w:rPr>
          <w:rFonts w:hint="eastAsia" w:cs="仿宋_GB2312" w:asciiTheme="minorEastAsia" w:hAnsiTheme="minorEastAsia" w:eastAsiaTheme="minorEastAsia"/>
          <w:kern w:val="0"/>
          <w:sz w:val="24"/>
          <w:szCs w:val="24"/>
          <w:highlight w:val="none"/>
        </w:rPr>
        <w:t>4.开展定期的消防应急演练。</w:t>
      </w:r>
    </w:p>
    <w:p w14:paraId="50B58CE8">
      <w:pPr>
        <w:pStyle w:val="3"/>
        <w:keepNext w:val="0"/>
        <w:suppressAutoHyphens/>
        <w:spacing w:before="156" w:beforeLines="50" w:after="156" w:afterLines="50" w:line="500" w:lineRule="exact"/>
        <w:ind w:firstLine="420"/>
        <w:jc w:val="both"/>
        <w:rPr>
          <w:rFonts w:asciiTheme="minorEastAsia" w:hAnsiTheme="minorEastAsia" w:eastAsiaTheme="minorEastAsia" w:cstheme="majorEastAsia"/>
          <w:sz w:val="24"/>
          <w:szCs w:val="24"/>
          <w:highlight w:val="none"/>
        </w:rPr>
      </w:pPr>
      <w:r>
        <w:rPr>
          <w:rFonts w:hint="eastAsia" w:asciiTheme="minorEastAsia" w:hAnsiTheme="minorEastAsia" w:eastAsiaTheme="minorEastAsia" w:cstheme="majorEastAsia"/>
          <w:sz w:val="24"/>
          <w:szCs w:val="24"/>
          <w:highlight w:val="none"/>
        </w:rPr>
        <w:t>七、服务要求</w:t>
      </w:r>
    </w:p>
    <w:p w14:paraId="2F1EE11C">
      <w:pPr>
        <w:spacing w:before="156" w:beforeLines="50" w:after="156" w:afterLines="50" w:line="360" w:lineRule="auto"/>
        <w:ind w:firstLine="480" w:firstLineChars="200"/>
        <w:rPr>
          <w:rFonts w:cs="仿宋_GB2312" w:asciiTheme="minorEastAsia" w:hAnsiTheme="minorEastAsia" w:eastAsiaTheme="minorEastAsia"/>
          <w:color w:val="000000"/>
          <w:sz w:val="24"/>
          <w:szCs w:val="24"/>
          <w:highlight w:val="none"/>
        </w:rPr>
      </w:pPr>
      <w:r>
        <w:rPr>
          <w:rFonts w:hint="eastAsia" w:cs="仿宋_GB2312" w:asciiTheme="minorEastAsia" w:hAnsiTheme="minorEastAsia" w:eastAsiaTheme="minorEastAsia"/>
          <w:color w:val="000000"/>
          <w:sz w:val="24"/>
          <w:szCs w:val="24"/>
          <w:highlight w:val="none"/>
        </w:rPr>
        <w:t>1.供应商</w:t>
      </w:r>
      <w:r>
        <w:rPr>
          <w:rFonts w:hint="eastAsia" w:cs="仿宋_GB2312" w:asciiTheme="minorEastAsia" w:hAnsiTheme="minorEastAsia" w:eastAsiaTheme="minorEastAsia"/>
          <w:color w:val="000000"/>
          <w:sz w:val="24"/>
          <w:szCs w:val="24"/>
          <w:highlight w:val="none"/>
          <w:lang w:val="zh-CN"/>
        </w:rPr>
        <w:t>须在社会消防技术服务信息系统备案</w:t>
      </w:r>
      <w:r>
        <w:rPr>
          <w:rFonts w:hint="eastAsia" w:cs="仿宋_GB2312" w:asciiTheme="minorEastAsia" w:hAnsiTheme="minorEastAsia" w:eastAsiaTheme="minorEastAsia"/>
          <w:color w:val="000000"/>
          <w:sz w:val="24"/>
          <w:szCs w:val="24"/>
          <w:highlight w:val="none"/>
        </w:rPr>
        <w:t>，</w:t>
      </w:r>
      <w:r>
        <w:rPr>
          <w:rFonts w:hint="eastAsia" w:cs="仿宋_GB2312" w:asciiTheme="minorEastAsia" w:hAnsiTheme="minorEastAsia" w:eastAsiaTheme="minorEastAsia"/>
          <w:color w:val="000000"/>
          <w:sz w:val="24"/>
          <w:szCs w:val="24"/>
          <w:highlight w:val="none"/>
          <w:lang w:val="zh-CN"/>
        </w:rPr>
        <w:t>服务类型包含消防设施维护保养</w:t>
      </w:r>
      <w:r>
        <w:rPr>
          <w:rFonts w:hint="eastAsia" w:cs="仿宋_GB2312" w:asciiTheme="minorEastAsia" w:hAnsiTheme="minorEastAsia" w:eastAsiaTheme="minorEastAsia"/>
          <w:color w:val="000000"/>
          <w:sz w:val="24"/>
          <w:szCs w:val="24"/>
          <w:highlight w:val="none"/>
        </w:rPr>
        <w:t>检测</w:t>
      </w:r>
      <w:r>
        <w:rPr>
          <w:rFonts w:hint="eastAsia" w:cs="仿宋_GB2312" w:asciiTheme="minorEastAsia" w:hAnsiTheme="minorEastAsia" w:eastAsiaTheme="minorEastAsia"/>
          <w:color w:val="000000"/>
          <w:sz w:val="24"/>
          <w:szCs w:val="24"/>
          <w:highlight w:val="none"/>
          <w:lang w:val="zh-CN"/>
        </w:rPr>
        <w:t>，注册人员中一级消防工程师不少于</w:t>
      </w:r>
      <w:r>
        <w:rPr>
          <w:rFonts w:hint="eastAsia" w:cs="仿宋_GB2312" w:asciiTheme="minorEastAsia" w:hAnsiTheme="minorEastAsia" w:eastAsiaTheme="minorEastAsia"/>
          <w:color w:val="000000"/>
          <w:sz w:val="24"/>
          <w:szCs w:val="24"/>
          <w:highlight w:val="none"/>
        </w:rPr>
        <w:t>2人，中级消防设施操作员不少于8人。在社会消防技术服务信息系统录入信息，提供信息截图，并在人员、设备、资金等方面具备相应的服务能力。</w:t>
      </w:r>
    </w:p>
    <w:p w14:paraId="00442B8B">
      <w:pPr>
        <w:pStyle w:val="2"/>
        <w:spacing w:before="156" w:beforeLines="50" w:after="156" w:afterLines="50" w:line="500" w:lineRule="exact"/>
        <w:ind w:left="63" w:right="63" w:firstLine="480" w:firstLineChars="200"/>
        <w:jc w:val="left"/>
        <w:rPr>
          <w:rFonts w:cs="仿宋_GB2312" w:asciiTheme="minorEastAsia" w:hAnsiTheme="minorEastAsia" w:eastAsiaTheme="minorEastAsia"/>
          <w:sz w:val="24"/>
          <w:szCs w:val="24"/>
          <w:highlight w:val="none"/>
        </w:rPr>
      </w:pPr>
      <w:r>
        <w:rPr>
          <w:rFonts w:hint="eastAsia" w:cs="仿宋_GB2312" w:asciiTheme="minorEastAsia" w:hAnsiTheme="minorEastAsia" w:eastAsiaTheme="minorEastAsia"/>
          <w:sz w:val="24"/>
          <w:szCs w:val="24"/>
          <w:highlight w:val="none"/>
        </w:rPr>
        <w:t>2.本项目需要提供全年无休现场驻场服务，供应商需派遣1名持有消防设施中级操作员证（维保方向）的驻场人员1名（24小时值班）。</w:t>
      </w:r>
    </w:p>
    <w:p w14:paraId="09BFAD62">
      <w:pPr>
        <w:pStyle w:val="2"/>
        <w:spacing w:before="156" w:beforeLines="50" w:after="156" w:afterLines="50" w:line="500" w:lineRule="exact"/>
        <w:ind w:left="63" w:right="63" w:firstLine="480" w:firstLineChars="200"/>
        <w:jc w:val="left"/>
        <w:rPr>
          <w:rFonts w:cs="仿宋_GB2312" w:asciiTheme="minorEastAsia" w:hAnsiTheme="minorEastAsia" w:eastAsiaTheme="minorEastAsia"/>
          <w:sz w:val="24"/>
          <w:szCs w:val="24"/>
          <w:highlight w:val="none"/>
        </w:rPr>
      </w:pPr>
      <w:r>
        <w:rPr>
          <w:rFonts w:hint="eastAsia" w:cs="仿宋_GB2312" w:asciiTheme="minorEastAsia" w:hAnsiTheme="minorEastAsia" w:eastAsiaTheme="minorEastAsia"/>
          <w:sz w:val="24"/>
          <w:szCs w:val="24"/>
          <w:highlight w:val="none"/>
        </w:rPr>
        <w:t>3.提供365*24小时故障响应服务。消防系统及设施发生故障时，30分钟内响应，一般故障1小时内进行维修处理完成，重大故障2小时内进行维修处理完成。若2小时不能解决问题，甲方可采取必要的补救措施，但其风险和费用将由乙方承担，甲方根据合同规定对乙方行使的其他权利不受影响。</w:t>
      </w:r>
    </w:p>
    <w:p w14:paraId="1582DDC1">
      <w:pPr>
        <w:pStyle w:val="2"/>
        <w:spacing w:before="156" w:beforeLines="50" w:after="156" w:afterLines="50" w:line="500" w:lineRule="exact"/>
        <w:ind w:left="63" w:right="63" w:firstLine="480" w:firstLineChars="200"/>
        <w:jc w:val="left"/>
        <w:rPr>
          <w:rFonts w:cs="仿宋_GB2312" w:asciiTheme="minorEastAsia" w:hAnsiTheme="minorEastAsia" w:eastAsiaTheme="minorEastAsia"/>
          <w:sz w:val="24"/>
          <w:szCs w:val="24"/>
          <w:highlight w:val="none"/>
        </w:rPr>
      </w:pPr>
      <w:r>
        <w:rPr>
          <w:rFonts w:hint="eastAsia" w:cs="仿宋_GB2312" w:asciiTheme="minorEastAsia" w:hAnsiTheme="minorEastAsia" w:eastAsiaTheme="minorEastAsia"/>
          <w:sz w:val="24"/>
          <w:szCs w:val="24"/>
          <w:highlight w:val="none"/>
        </w:rPr>
        <w:t>4.每月对全院消防系统及设施设备进行全面检测，根据检测结果，对系统中发现的问题及时进行维护、保养，使其快速恢复正常运行状态，且每月出具陕西省消防技术服务小蜜蜂维护保养报告书一份。</w:t>
      </w:r>
    </w:p>
    <w:p w14:paraId="789728CE">
      <w:pPr>
        <w:pStyle w:val="2"/>
        <w:spacing w:before="156" w:beforeLines="50" w:after="156" w:afterLines="50" w:line="500" w:lineRule="exact"/>
        <w:ind w:left="63" w:right="63" w:firstLine="480" w:firstLineChars="200"/>
        <w:jc w:val="left"/>
        <w:rPr>
          <w:rFonts w:cs="仿宋_GB2312" w:asciiTheme="minorEastAsia" w:hAnsiTheme="minorEastAsia" w:eastAsiaTheme="minorEastAsia"/>
          <w:sz w:val="24"/>
          <w:szCs w:val="24"/>
          <w:highlight w:val="none"/>
          <w:lang w:val="zh-CN"/>
        </w:rPr>
      </w:pPr>
      <w:r>
        <w:rPr>
          <w:rFonts w:hint="eastAsia" w:cs="仿宋_GB2312" w:asciiTheme="minorEastAsia" w:hAnsiTheme="minorEastAsia" w:eastAsiaTheme="minorEastAsia"/>
          <w:sz w:val="24"/>
          <w:szCs w:val="24"/>
          <w:highlight w:val="none"/>
        </w:rPr>
        <w:t>5.</w:t>
      </w:r>
      <w:r>
        <w:rPr>
          <w:rFonts w:hint="eastAsia" w:cs="仿宋_GB2312" w:asciiTheme="minorEastAsia" w:hAnsiTheme="minorEastAsia" w:eastAsiaTheme="minorEastAsia"/>
          <w:sz w:val="24"/>
          <w:szCs w:val="24"/>
          <w:highlight w:val="none"/>
          <w:lang w:val="zh-CN"/>
        </w:rPr>
        <w:t>零配件更换</w:t>
      </w:r>
      <w:r>
        <w:rPr>
          <w:rFonts w:hint="eastAsia" w:cs="仿宋_GB2312" w:asciiTheme="minorEastAsia" w:hAnsiTheme="minorEastAsia" w:eastAsiaTheme="minorEastAsia"/>
          <w:sz w:val="24"/>
          <w:szCs w:val="24"/>
          <w:highlight w:val="none"/>
        </w:rPr>
        <w:t>与维修</w:t>
      </w:r>
      <w:r>
        <w:rPr>
          <w:rFonts w:hint="eastAsia" w:cs="仿宋_GB2312" w:asciiTheme="minorEastAsia" w:hAnsiTheme="minorEastAsia" w:eastAsiaTheme="minorEastAsia"/>
          <w:sz w:val="24"/>
          <w:szCs w:val="24"/>
          <w:highlight w:val="none"/>
          <w:lang w:val="zh-CN"/>
        </w:rPr>
        <w:t>：</w:t>
      </w:r>
    </w:p>
    <w:p w14:paraId="08EC9F9E">
      <w:pPr>
        <w:pStyle w:val="2"/>
        <w:spacing w:before="156" w:beforeLines="50" w:after="156" w:afterLines="50" w:line="500" w:lineRule="exact"/>
        <w:ind w:left="63" w:right="63" w:firstLine="480" w:firstLineChars="200"/>
        <w:jc w:val="left"/>
        <w:rPr>
          <w:rFonts w:cs="仿宋_GB2312" w:asciiTheme="minorEastAsia" w:hAnsiTheme="minorEastAsia" w:eastAsiaTheme="minorEastAsia"/>
          <w:sz w:val="24"/>
          <w:szCs w:val="24"/>
          <w:highlight w:val="none"/>
          <w:lang w:val="zh-CN"/>
        </w:rPr>
      </w:pPr>
      <w:r>
        <w:rPr>
          <w:rFonts w:hint="eastAsia" w:cs="仿宋_GB2312" w:asciiTheme="minorEastAsia" w:hAnsiTheme="minorEastAsia" w:eastAsiaTheme="minorEastAsia"/>
          <w:sz w:val="24"/>
          <w:szCs w:val="24"/>
          <w:highlight w:val="none"/>
        </w:rPr>
        <w:t>供应商</w:t>
      </w:r>
      <w:r>
        <w:rPr>
          <w:rFonts w:hint="eastAsia" w:cs="仿宋_GB2312" w:asciiTheme="minorEastAsia" w:hAnsiTheme="minorEastAsia" w:eastAsiaTheme="minorEastAsia"/>
          <w:sz w:val="24"/>
          <w:szCs w:val="24"/>
          <w:highlight w:val="none"/>
          <w:lang w:val="zh-CN"/>
        </w:rPr>
        <w:t>在保养期中如发现消防系统需要更换零配件，应及时向甲方提出更换配件清单，经甲方同意后，乙方可进行更换。</w:t>
      </w:r>
    </w:p>
    <w:p w14:paraId="407BD645">
      <w:pPr>
        <w:pStyle w:val="2"/>
        <w:spacing w:before="156" w:beforeLines="50" w:after="156" w:afterLines="50" w:line="500" w:lineRule="exact"/>
        <w:ind w:left="63" w:right="63" w:firstLine="480" w:firstLineChars="200"/>
        <w:jc w:val="left"/>
        <w:rPr>
          <w:rFonts w:cs="仿宋_GB2312" w:asciiTheme="minorEastAsia" w:hAnsiTheme="minorEastAsia" w:eastAsiaTheme="minorEastAsia"/>
          <w:sz w:val="24"/>
          <w:szCs w:val="24"/>
          <w:highlight w:val="none"/>
        </w:rPr>
      </w:pPr>
      <w:r>
        <w:rPr>
          <w:rFonts w:hint="eastAsia" w:cs="仿宋_GB2312" w:asciiTheme="minorEastAsia" w:hAnsiTheme="minorEastAsia" w:eastAsiaTheme="minorEastAsia"/>
          <w:sz w:val="24"/>
          <w:szCs w:val="24"/>
          <w:highlight w:val="none"/>
          <w:lang w:val="zh-CN"/>
        </w:rPr>
        <w:t>更换零配件</w:t>
      </w:r>
      <w:r>
        <w:rPr>
          <w:rFonts w:hint="eastAsia" w:cs="仿宋_GB2312" w:asciiTheme="minorEastAsia" w:hAnsiTheme="minorEastAsia" w:eastAsiaTheme="minorEastAsia"/>
          <w:sz w:val="24"/>
          <w:szCs w:val="24"/>
          <w:highlight w:val="none"/>
        </w:rPr>
        <w:t>或维修</w:t>
      </w:r>
      <w:r>
        <w:rPr>
          <w:rFonts w:hint="eastAsia" w:cs="仿宋_GB2312" w:asciiTheme="minorEastAsia" w:hAnsiTheme="minorEastAsia" w:eastAsiaTheme="minorEastAsia"/>
          <w:sz w:val="24"/>
          <w:szCs w:val="24"/>
          <w:highlight w:val="none"/>
          <w:lang w:val="zh-CN"/>
        </w:rPr>
        <w:t>单价在人民币</w:t>
      </w:r>
      <w:r>
        <w:rPr>
          <w:rFonts w:hint="eastAsia" w:cs="仿宋_GB2312" w:asciiTheme="minorEastAsia" w:hAnsiTheme="minorEastAsia" w:eastAsiaTheme="minorEastAsia"/>
          <w:sz w:val="24"/>
          <w:szCs w:val="24"/>
          <w:highlight w:val="none"/>
        </w:rPr>
        <w:t>200</w:t>
      </w:r>
      <w:r>
        <w:rPr>
          <w:rFonts w:hint="eastAsia" w:cs="仿宋_GB2312" w:asciiTheme="minorEastAsia" w:hAnsiTheme="minorEastAsia" w:eastAsiaTheme="minorEastAsia"/>
          <w:sz w:val="24"/>
          <w:szCs w:val="24"/>
          <w:highlight w:val="none"/>
          <w:lang w:val="zh-CN"/>
        </w:rPr>
        <w:t>元以下的由</w:t>
      </w:r>
      <w:r>
        <w:rPr>
          <w:rFonts w:hint="eastAsia" w:cs="仿宋_GB2312" w:asciiTheme="minorEastAsia" w:hAnsiTheme="minorEastAsia" w:eastAsiaTheme="minorEastAsia"/>
          <w:sz w:val="24"/>
          <w:szCs w:val="24"/>
          <w:highlight w:val="none"/>
        </w:rPr>
        <w:t>供应商</w:t>
      </w:r>
      <w:r>
        <w:rPr>
          <w:rFonts w:hint="eastAsia" w:cs="仿宋_GB2312" w:asciiTheme="minorEastAsia" w:hAnsiTheme="minorEastAsia" w:eastAsiaTheme="minorEastAsia"/>
          <w:sz w:val="24"/>
          <w:szCs w:val="24"/>
          <w:highlight w:val="none"/>
          <w:lang w:val="zh-CN"/>
        </w:rPr>
        <w:t>自行承担，</w:t>
      </w:r>
      <w:r>
        <w:rPr>
          <w:rFonts w:hint="eastAsia" w:cs="仿宋_GB2312" w:asciiTheme="minorEastAsia" w:hAnsiTheme="minorEastAsia" w:eastAsiaTheme="minorEastAsia"/>
          <w:sz w:val="24"/>
          <w:szCs w:val="24"/>
          <w:highlight w:val="none"/>
        </w:rPr>
        <w:t>免费进行更换安装调试，服务期内累计维修更换费用在3000元以内，均由供应商负责，超出部分费用由甲方负责；供应商</w:t>
      </w:r>
      <w:r>
        <w:rPr>
          <w:rFonts w:hint="eastAsia" w:cs="仿宋_GB2312" w:asciiTheme="minorEastAsia" w:hAnsiTheme="minorEastAsia" w:eastAsiaTheme="minorEastAsia"/>
          <w:sz w:val="24"/>
          <w:szCs w:val="24"/>
          <w:highlight w:val="none"/>
          <w:lang w:val="zh-CN"/>
        </w:rPr>
        <w:t>须向甲方提供更换零配件维修</w:t>
      </w:r>
      <w:r>
        <w:rPr>
          <w:rFonts w:hint="eastAsia" w:cs="仿宋_GB2312" w:asciiTheme="minorEastAsia" w:hAnsiTheme="minorEastAsia" w:eastAsiaTheme="minorEastAsia"/>
          <w:sz w:val="24"/>
          <w:szCs w:val="24"/>
          <w:highlight w:val="none"/>
        </w:rPr>
        <w:t>报价清</w:t>
      </w:r>
      <w:r>
        <w:rPr>
          <w:rFonts w:hint="eastAsia" w:cs="仿宋_GB2312" w:asciiTheme="minorEastAsia" w:hAnsiTheme="minorEastAsia" w:eastAsiaTheme="minorEastAsia"/>
          <w:sz w:val="24"/>
          <w:szCs w:val="24"/>
          <w:highlight w:val="none"/>
          <w:lang w:val="zh-CN"/>
        </w:rPr>
        <w:t>单（</w:t>
      </w:r>
      <w:r>
        <w:rPr>
          <w:rFonts w:hint="eastAsia" w:cs="仿宋_GB2312" w:asciiTheme="minorEastAsia" w:hAnsiTheme="minorEastAsia" w:eastAsiaTheme="minorEastAsia"/>
          <w:sz w:val="24"/>
          <w:szCs w:val="24"/>
          <w:highlight w:val="none"/>
        </w:rPr>
        <w:t>开标时须提供</w:t>
      </w:r>
      <w:r>
        <w:rPr>
          <w:rFonts w:hint="eastAsia" w:cs="仿宋_GB2312" w:asciiTheme="minorEastAsia" w:hAnsiTheme="minorEastAsia" w:eastAsiaTheme="minorEastAsia"/>
          <w:sz w:val="24"/>
          <w:szCs w:val="24"/>
          <w:highlight w:val="none"/>
          <w:lang w:val="zh-CN"/>
        </w:rPr>
        <w:t>），经审批同意确认后，方可进行更换</w:t>
      </w:r>
      <w:r>
        <w:rPr>
          <w:rFonts w:hint="eastAsia" w:cs="仿宋_GB2312" w:asciiTheme="minorEastAsia" w:hAnsiTheme="minorEastAsia" w:eastAsiaTheme="minorEastAsia"/>
          <w:sz w:val="24"/>
          <w:szCs w:val="24"/>
          <w:highlight w:val="none"/>
        </w:rPr>
        <w:t>安装调试，同时提供产品的检验报告。</w:t>
      </w:r>
    </w:p>
    <w:p w14:paraId="7F43F96B">
      <w:pPr>
        <w:spacing w:before="156" w:beforeLines="50" w:after="156" w:afterLines="50" w:line="360" w:lineRule="auto"/>
        <w:ind w:firstLine="720" w:firstLineChars="300"/>
        <w:rPr>
          <w:rFonts w:asciiTheme="minorEastAsia" w:hAnsiTheme="minorEastAsia" w:eastAsiaTheme="minorEastAsia"/>
          <w:sz w:val="24"/>
          <w:szCs w:val="24"/>
          <w:highlight w:val="none"/>
        </w:rPr>
      </w:pPr>
      <w:r>
        <w:rPr>
          <w:rFonts w:hint="eastAsia" w:cs="仿宋_GB2312" w:asciiTheme="minorEastAsia" w:hAnsiTheme="minorEastAsia" w:eastAsiaTheme="minorEastAsia"/>
          <w:color w:val="000000"/>
          <w:sz w:val="24"/>
          <w:szCs w:val="24"/>
          <w:highlight w:val="none"/>
          <w:lang w:val="zh-CN"/>
        </w:rPr>
        <w:t>6</w:t>
      </w:r>
      <w:r>
        <w:rPr>
          <w:rFonts w:hint="eastAsia" w:cs="仿宋_GB2312" w:asciiTheme="minorEastAsia" w:hAnsiTheme="minorEastAsia" w:eastAsiaTheme="minorEastAsia"/>
          <w:color w:val="000000"/>
          <w:sz w:val="24"/>
          <w:szCs w:val="24"/>
          <w:highlight w:val="none"/>
        </w:rPr>
        <w:t>.</w:t>
      </w:r>
      <w:r>
        <w:rPr>
          <w:rFonts w:hint="eastAsia" w:cs="仿宋_GB2312" w:asciiTheme="minorEastAsia" w:hAnsiTheme="minorEastAsia" w:eastAsiaTheme="minorEastAsia"/>
          <w:color w:val="000000"/>
          <w:sz w:val="24"/>
          <w:szCs w:val="24"/>
          <w:highlight w:val="none"/>
          <w:lang w:val="zh-CN"/>
        </w:rPr>
        <w:t>中标方在每次</w:t>
      </w:r>
      <w:r>
        <w:rPr>
          <w:rFonts w:hint="eastAsia" w:cs="仿宋_GB2312" w:asciiTheme="minorEastAsia" w:hAnsiTheme="minorEastAsia" w:eastAsiaTheme="minorEastAsia"/>
          <w:color w:val="000000"/>
          <w:sz w:val="24"/>
          <w:szCs w:val="24"/>
          <w:highlight w:val="none"/>
        </w:rPr>
        <w:t>更换零配件或维修</w:t>
      </w:r>
      <w:r>
        <w:rPr>
          <w:rFonts w:hint="eastAsia" w:cs="仿宋_GB2312" w:asciiTheme="minorEastAsia" w:hAnsiTheme="minorEastAsia" w:eastAsiaTheme="minorEastAsia"/>
          <w:color w:val="000000"/>
          <w:sz w:val="24"/>
          <w:szCs w:val="24"/>
          <w:highlight w:val="none"/>
          <w:lang w:val="zh-CN"/>
        </w:rPr>
        <w:t>完毕后</w:t>
      </w:r>
      <w:r>
        <w:rPr>
          <w:rFonts w:hint="eastAsia" w:cs="仿宋_GB2312" w:asciiTheme="minorEastAsia" w:hAnsiTheme="minorEastAsia" w:eastAsiaTheme="minorEastAsia"/>
          <w:color w:val="000000"/>
          <w:sz w:val="24"/>
          <w:szCs w:val="24"/>
          <w:highlight w:val="none"/>
        </w:rPr>
        <w:t>需</w:t>
      </w:r>
      <w:r>
        <w:rPr>
          <w:rFonts w:hint="eastAsia" w:cs="仿宋_GB2312" w:asciiTheme="minorEastAsia" w:hAnsiTheme="minorEastAsia" w:eastAsiaTheme="minorEastAsia"/>
          <w:color w:val="000000"/>
          <w:sz w:val="24"/>
          <w:szCs w:val="24"/>
          <w:highlight w:val="none"/>
          <w:lang w:val="zh-CN"/>
        </w:rPr>
        <w:t>向我方提供</w:t>
      </w:r>
      <w:r>
        <w:rPr>
          <w:rFonts w:hint="eastAsia" w:cs="仿宋_GB2312" w:asciiTheme="minorEastAsia" w:hAnsiTheme="minorEastAsia" w:eastAsiaTheme="minorEastAsia"/>
          <w:color w:val="000000"/>
          <w:sz w:val="24"/>
          <w:szCs w:val="24"/>
          <w:highlight w:val="none"/>
        </w:rPr>
        <w:t>零配件更换维修</w:t>
      </w:r>
      <w:r>
        <w:rPr>
          <w:rFonts w:hint="eastAsia" w:cs="仿宋_GB2312" w:asciiTheme="minorEastAsia" w:hAnsiTheme="minorEastAsia" w:eastAsiaTheme="minorEastAsia"/>
          <w:color w:val="000000"/>
          <w:sz w:val="24"/>
          <w:szCs w:val="24"/>
          <w:highlight w:val="none"/>
          <w:lang w:val="zh-CN"/>
        </w:rPr>
        <w:t>服务确认单。</w:t>
      </w:r>
      <w:r>
        <w:rPr>
          <w:rFonts w:hint="eastAsia" w:cs="仿宋_GB2312" w:asciiTheme="minorEastAsia" w:hAnsiTheme="minorEastAsia" w:eastAsiaTheme="minorEastAsia"/>
          <w:color w:val="000000"/>
          <w:sz w:val="24"/>
          <w:szCs w:val="24"/>
          <w:highlight w:val="none"/>
        </w:rPr>
        <w:t xml:space="preserve"> </w:t>
      </w:r>
    </w:p>
    <w:p w14:paraId="62D64BB8">
      <w:pPr>
        <w:spacing w:before="156" w:beforeLines="50" w:after="156" w:afterLines="50"/>
        <w:ind w:firstLine="720" w:firstLineChars="300"/>
        <w:rPr>
          <w:rFonts w:cs="仿宋_GB2312" w:asciiTheme="minorEastAsia" w:hAnsiTheme="minorEastAsia" w:eastAsiaTheme="minorEastAsia"/>
          <w:sz w:val="24"/>
          <w:szCs w:val="24"/>
          <w:highlight w:val="none"/>
        </w:rPr>
      </w:pPr>
      <w:r>
        <w:rPr>
          <w:rFonts w:hint="eastAsia" w:cs="仿宋_GB2312" w:asciiTheme="minorEastAsia" w:hAnsiTheme="minorEastAsia" w:eastAsiaTheme="minorEastAsia"/>
          <w:sz w:val="24"/>
          <w:szCs w:val="24"/>
          <w:highlight w:val="none"/>
        </w:rPr>
        <w:t>7.负责整理、完善、规范甲方关于建筑消防设施管理的相关制度，建立维修保养资料档案。</w:t>
      </w:r>
    </w:p>
    <w:p w14:paraId="00BE06A6">
      <w:pPr>
        <w:pStyle w:val="3"/>
        <w:spacing w:before="156" w:beforeLines="50" w:after="156" w:afterLines="50"/>
        <w:ind w:firstLine="720" w:firstLineChars="300"/>
        <w:jc w:val="both"/>
        <w:rPr>
          <w:rFonts w:asciiTheme="minorEastAsia" w:hAnsiTheme="minorEastAsia" w:eastAsiaTheme="minorEastAsia"/>
          <w:b/>
          <w:bCs/>
          <w:sz w:val="24"/>
          <w:szCs w:val="24"/>
          <w:highlight w:val="none"/>
        </w:rPr>
      </w:pPr>
      <w:r>
        <w:rPr>
          <w:rFonts w:hint="eastAsia" w:cs="仿宋_GB2312" w:asciiTheme="minorEastAsia" w:hAnsiTheme="minorEastAsia" w:eastAsiaTheme="minorEastAsia"/>
          <w:bCs/>
          <w:sz w:val="24"/>
          <w:szCs w:val="24"/>
          <w:highlight w:val="none"/>
        </w:rPr>
        <w:t>8.供应商须在甲方消防控制室内设置消防常规易损配件储存柜，柜内须放置如烟感、温感、喷淋头、手报等消防配件及检测维修工具设备。</w:t>
      </w:r>
    </w:p>
    <w:p w14:paraId="16DD917D">
      <w:pPr>
        <w:pStyle w:val="3"/>
        <w:spacing w:before="156" w:beforeLines="50" w:after="156" w:afterLines="50"/>
        <w:ind w:firstLine="720" w:firstLineChars="300"/>
        <w:jc w:val="both"/>
        <w:rPr>
          <w:rFonts w:cs="仿宋_GB2312" w:asciiTheme="minorEastAsia" w:hAnsiTheme="minorEastAsia" w:eastAsiaTheme="minorEastAsia"/>
          <w:bCs/>
          <w:sz w:val="24"/>
          <w:szCs w:val="24"/>
          <w:highlight w:val="none"/>
        </w:rPr>
      </w:pPr>
      <w:r>
        <w:rPr>
          <w:rFonts w:hint="eastAsia" w:cs="仿宋_GB2312" w:asciiTheme="minorEastAsia" w:hAnsiTheme="minorEastAsia" w:eastAsiaTheme="minorEastAsia"/>
          <w:bCs/>
          <w:sz w:val="24"/>
          <w:szCs w:val="24"/>
          <w:highlight w:val="none"/>
        </w:rPr>
        <w:t>9.医院消防设施年度检测，由供应商负责联系具有资质的第三方对医院消防设施进行年度检测工作，并按照规范出具检测报告。</w:t>
      </w:r>
    </w:p>
    <w:p w14:paraId="1AFCB7F4">
      <w:pPr>
        <w:pStyle w:val="3"/>
        <w:spacing w:before="156" w:beforeLines="50" w:after="156" w:afterLines="50"/>
        <w:ind w:firstLine="720" w:firstLineChars="300"/>
        <w:jc w:val="both"/>
        <w:rPr>
          <w:rFonts w:cs="仿宋_GB2312" w:asciiTheme="minorEastAsia" w:hAnsiTheme="minorEastAsia" w:eastAsiaTheme="minorEastAsia"/>
          <w:bCs/>
          <w:sz w:val="24"/>
          <w:szCs w:val="24"/>
          <w:highlight w:val="none"/>
        </w:rPr>
      </w:pPr>
      <w:r>
        <w:rPr>
          <w:rFonts w:hint="eastAsia" w:cs="仿宋_GB2312" w:asciiTheme="minorEastAsia" w:hAnsiTheme="minorEastAsia" w:eastAsiaTheme="minorEastAsia"/>
          <w:bCs/>
          <w:sz w:val="24"/>
          <w:szCs w:val="24"/>
          <w:highlight w:val="none"/>
        </w:rPr>
        <w:t>10.乙方在提供服务时因管理不当或未尽义务导致甲方或第三方人身损害或财产损失的，应承担全部责任和费用。</w:t>
      </w:r>
    </w:p>
    <w:p w14:paraId="619AE925">
      <w:pPr>
        <w:pStyle w:val="3"/>
        <w:spacing w:before="156" w:beforeLines="50" w:after="156" w:afterLines="50"/>
        <w:ind w:firstLine="480" w:firstLineChars="200"/>
        <w:jc w:val="left"/>
        <w:rPr>
          <w:rFonts w:cs="仿宋_GB2312" w:asciiTheme="minorEastAsia" w:hAnsiTheme="minorEastAsia" w:eastAsiaTheme="minorEastAsia"/>
          <w:sz w:val="24"/>
          <w:szCs w:val="24"/>
          <w:highlight w:val="none"/>
          <w:lang w:val="zh-CN"/>
        </w:rPr>
      </w:pPr>
      <w:r>
        <w:rPr>
          <w:rFonts w:hint="eastAsia" w:asciiTheme="minorEastAsia" w:hAnsiTheme="minorEastAsia" w:eastAsiaTheme="minorEastAsia" w:cstheme="majorEastAsia"/>
          <w:sz w:val="24"/>
          <w:szCs w:val="24"/>
          <w:highlight w:val="none"/>
        </w:rPr>
        <w:t>八</w:t>
      </w:r>
      <w:r>
        <w:rPr>
          <w:rFonts w:hint="eastAsia" w:asciiTheme="minorEastAsia" w:hAnsiTheme="minorEastAsia" w:eastAsiaTheme="minorEastAsia" w:cstheme="majorEastAsia"/>
          <w:sz w:val="24"/>
          <w:szCs w:val="24"/>
          <w:highlight w:val="none"/>
          <w:lang w:val="zh-CN"/>
        </w:rPr>
        <w:t>、其他质量要求：</w:t>
      </w:r>
    </w:p>
    <w:p w14:paraId="2E6B976E">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lang w:val="zh-CN"/>
        </w:rPr>
        <w:t>1、严格按照国家消防规范、规程和双方确认的《消防系统维保服务方案》做好消防系统的维修保养工作。</w:t>
      </w:r>
    </w:p>
    <w:p w14:paraId="18E5DA3B">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lang w:val="zh-CN"/>
        </w:rPr>
        <w:t>2、当我方消防设施设备出现故障时，</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应按故障类型制定合理维修方案通报我方，在得到我方同意后进行维修施工，</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应在施工过程中维持其它设备正常运行。</w:t>
      </w:r>
    </w:p>
    <w:p w14:paraId="53BAE7FE">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lang w:val="zh-CN"/>
        </w:rPr>
        <w:t>3、每次按计划维护保养设备前，就工作时间、工作内容与我方商榷，如检测工作涉及到我方相关部门时，应事先通报我方，我方应予配合协调，保证</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顺利实施工作计划。</w:t>
      </w:r>
    </w:p>
    <w:p w14:paraId="1F7114E2">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lang w:val="zh-CN"/>
        </w:rPr>
        <w:t>4、除正常系统的维护、保养外，当系统、消防设备出现故障需要维修时，我方可随时通过电话或传真向</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报修，</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 xml:space="preserve">维护工程师及时赶到现场，进行抢修工作。对一般性的故障应及时给予排除；对情况复杂的，如主机程序错乱、需更换设备等，提出方案与我方商榷，然后按照方案实施。 </w:t>
      </w:r>
    </w:p>
    <w:p w14:paraId="24B8E49C">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lang w:val="zh-CN"/>
        </w:rPr>
        <w:t>5、</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在合同期内，积极给予我方维保服务，保障消防系统设备正常运行。工作期间必须严格遵守我方的管理制度和要求。</w:t>
      </w:r>
    </w:p>
    <w:p w14:paraId="6DC5B46A">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rPr>
        <w:t>6</w:t>
      </w:r>
      <w:r>
        <w:rPr>
          <w:rFonts w:hint="eastAsia" w:cs="仿宋_GB2312" w:asciiTheme="minorEastAsia" w:hAnsiTheme="minorEastAsia" w:eastAsiaTheme="minorEastAsia"/>
          <w:color w:val="000000"/>
          <w:sz w:val="24"/>
          <w:szCs w:val="24"/>
          <w:highlight w:val="none"/>
          <w:lang w:val="zh-CN"/>
        </w:rPr>
        <w:t>、维修保养过程中，更换的设备配件必须是合格产品。</w:t>
      </w:r>
    </w:p>
    <w:p w14:paraId="4B196F36">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rPr>
        <w:t>7</w:t>
      </w:r>
      <w:r>
        <w:rPr>
          <w:rFonts w:hint="eastAsia" w:cs="仿宋_GB2312" w:asciiTheme="minorEastAsia" w:hAnsiTheme="minorEastAsia" w:eastAsiaTheme="minorEastAsia"/>
          <w:color w:val="000000"/>
          <w:sz w:val="24"/>
          <w:szCs w:val="24"/>
          <w:highlight w:val="none"/>
          <w:lang w:val="zh-CN"/>
        </w:rPr>
        <w:t>、</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维保人员在实施维保工中，因操作不当导致事故，</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应承担全部责任。</w:t>
      </w:r>
    </w:p>
    <w:p w14:paraId="1717ADFA">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rPr>
        <w:t>8</w:t>
      </w:r>
      <w:r>
        <w:rPr>
          <w:rFonts w:hint="eastAsia" w:cs="仿宋_GB2312" w:asciiTheme="minorEastAsia" w:hAnsiTheme="minorEastAsia" w:eastAsiaTheme="minorEastAsia"/>
          <w:color w:val="000000"/>
          <w:sz w:val="24"/>
          <w:szCs w:val="24"/>
          <w:highlight w:val="none"/>
          <w:lang w:val="zh-CN"/>
        </w:rPr>
        <w:t>、</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维保工作人员</w:t>
      </w:r>
      <w:r>
        <w:rPr>
          <w:rFonts w:hint="eastAsia" w:cs="仿宋_GB2312" w:asciiTheme="minorEastAsia" w:hAnsiTheme="minorEastAsia" w:eastAsiaTheme="minorEastAsia"/>
          <w:color w:val="000000"/>
          <w:sz w:val="24"/>
          <w:szCs w:val="24"/>
          <w:highlight w:val="none"/>
        </w:rPr>
        <w:t>须</w:t>
      </w:r>
      <w:r>
        <w:rPr>
          <w:rFonts w:hint="eastAsia" w:cs="仿宋_GB2312" w:asciiTheme="minorEastAsia" w:hAnsiTheme="minorEastAsia" w:eastAsiaTheme="minorEastAsia"/>
          <w:color w:val="000000"/>
          <w:sz w:val="24"/>
          <w:szCs w:val="24"/>
          <w:highlight w:val="none"/>
          <w:lang w:val="zh-CN"/>
        </w:rPr>
        <w:t>遵守我方电气的管理制度，听从我方有关人员的正确指挥，严格按照操作规程作业，确保施工安全，</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工作人员人身安全保险由</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自理。</w:t>
      </w:r>
    </w:p>
    <w:p w14:paraId="6D680EBE">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rPr>
        <w:t>9</w:t>
      </w:r>
      <w:r>
        <w:rPr>
          <w:rFonts w:hint="eastAsia" w:cs="仿宋_GB2312" w:asciiTheme="minorEastAsia" w:hAnsiTheme="minorEastAsia" w:eastAsiaTheme="minorEastAsia"/>
          <w:color w:val="000000"/>
          <w:sz w:val="24"/>
          <w:szCs w:val="24"/>
          <w:highlight w:val="none"/>
          <w:lang w:val="zh-CN"/>
        </w:rPr>
        <w:t>、当</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检测、调试或维修保养消防系统将可能影响到我方工作人员的日常生产办公时，</w:t>
      </w:r>
      <w:r>
        <w:rPr>
          <w:rFonts w:hint="eastAsia" w:cs="仿宋_GB2312" w:asciiTheme="minorEastAsia" w:hAnsiTheme="minorEastAsia" w:eastAsiaTheme="minorEastAsia"/>
          <w:color w:val="000000"/>
          <w:sz w:val="24"/>
          <w:szCs w:val="24"/>
          <w:highlight w:val="none"/>
        </w:rPr>
        <w:t>须</w:t>
      </w:r>
      <w:r>
        <w:rPr>
          <w:rFonts w:hint="eastAsia" w:cs="仿宋_GB2312" w:asciiTheme="minorEastAsia" w:hAnsiTheme="minorEastAsia" w:eastAsiaTheme="minorEastAsia"/>
          <w:color w:val="000000"/>
          <w:sz w:val="24"/>
          <w:szCs w:val="24"/>
          <w:highlight w:val="none"/>
          <w:lang w:val="zh-CN"/>
        </w:rPr>
        <w:t>提前报请我方批准后方可进行。</w:t>
      </w:r>
    </w:p>
    <w:p w14:paraId="72FDC8A6">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lang w:val="zh-CN"/>
        </w:rPr>
        <w:t>1</w:t>
      </w:r>
      <w:r>
        <w:rPr>
          <w:rFonts w:hint="eastAsia" w:cs="仿宋_GB2312" w:asciiTheme="minorEastAsia" w:hAnsiTheme="minorEastAsia" w:eastAsiaTheme="minorEastAsia"/>
          <w:color w:val="000000"/>
          <w:sz w:val="24"/>
          <w:szCs w:val="24"/>
          <w:highlight w:val="none"/>
        </w:rPr>
        <w:t>0</w:t>
      </w:r>
      <w:r>
        <w:rPr>
          <w:rFonts w:hint="eastAsia" w:cs="仿宋_GB2312" w:asciiTheme="minorEastAsia" w:hAnsiTheme="minorEastAsia" w:eastAsiaTheme="minorEastAsia"/>
          <w:color w:val="000000"/>
          <w:sz w:val="24"/>
          <w:szCs w:val="24"/>
          <w:highlight w:val="none"/>
          <w:lang w:val="zh-CN"/>
        </w:rPr>
        <w:t>、</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保证消防系统原设计所有功能正常，若因</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维保不到位或维保过失，造成事故的，由</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负责，其他原因造成事故的，由消防部门进行裁定，由责任方负责。</w:t>
      </w:r>
    </w:p>
    <w:p w14:paraId="29EBA3F6">
      <w:pPr>
        <w:spacing w:before="156" w:beforeLines="50" w:after="156" w:afterLines="50" w:line="360" w:lineRule="auto"/>
        <w:ind w:left="420" w:leftChars="200" w:firstLine="480" w:firstLineChars="200"/>
        <w:rPr>
          <w:rFonts w:cs="仿宋_GB2312" w:asciiTheme="minorEastAsia" w:hAnsiTheme="minorEastAsia" w:eastAsiaTheme="minorEastAsia"/>
          <w:color w:val="000000"/>
          <w:sz w:val="24"/>
          <w:szCs w:val="24"/>
          <w:highlight w:val="none"/>
          <w:lang w:val="zh-CN"/>
        </w:rPr>
      </w:pPr>
      <w:r>
        <w:rPr>
          <w:rFonts w:hint="eastAsia" w:cs="仿宋_GB2312" w:asciiTheme="minorEastAsia" w:hAnsiTheme="minorEastAsia" w:eastAsiaTheme="minorEastAsia"/>
          <w:color w:val="000000"/>
          <w:sz w:val="24"/>
          <w:szCs w:val="24"/>
          <w:highlight w:val="none"/>
          <w:lang w:val="zh-CN"/>
        </w:rPr>
        <w:t>1</w:t>
      </w:r>
      <w:r>
        <w:rPr>
          <w:rFonts w:hint="eastAsia" w:cs="仿宋_GB2312" w:asciiTheme="minorEastAsia" w:hAnsiTheme="minorEastAsia" w:eastAsiaTheme="minorEastAsia"/>
          <w:color w:val="000000"/>
          <w:sz w:val="24"/>
          <w:szCs w:val="24"/>
          <w:highlight w:val="none"/>
        </w:rPr>
        <w:t>1</w:t>
      </w:r>
      <w:r>
        <w:rPr>
          <w:rFonts w:hint="eastAsia" w:cs="仿宋_GB2312" w:asciiTheme="minorEastAsia" w:hAnsiTheme="minorEastAsia" w:eastAsiaTheme="minorEastAsia"/>
          <w:color w:val="000000"/>
          <w:sz w:val="24"/>
          <w:szCs w:val="24"/>
          <w:highlight w:val="none"/>
          <w:lang w:val="zh-CN"/>
        </w:rPr>
        <w:t>、</w:t>
      </w:r>
      <w:r>
        <w:rPr>
          <w:rFonts w:hint="eastAsia" w:cs="仿宋_GB2312" w:asciiTheme="minorEastAsia" w:hAnsiTheme="minorEastAsia" w:eastAsiaTheme="minorEastAsia"/>
          <w:color w:val="000000"/>
          <w:sz w:val="24"/>
          <w:szCs w:val="24"/>
          <w:highlight w:val="none"/>
        </w:rPr>
        <w:t>供应商</w:t>
      </w:r>
      <w:r>
        <w:rPr>
          <w:rFonts w:hint="eastAsia" w:cs="仿宋_GB2312" w:asciiTheme="minorEastAsia" w:hAnsiTheme="minorEastAsia" w:eastAsiaTheme="minorEastAsia"/>
          <w:color w:val="000000"/>
          <w:sz w:val="24"/>
          <w:szCs w:val="24"/>
          <w:highlight w:val="none"/>
          <w:lang w:val="zh-CN"/>
        </w:rPr>
        <w:t>将无条件向我方提供中标力所能及的消防技术支持服务。</w:t>
      </w:r>
    </w:p>
    <w:p w14:paraId="34A970E5">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九、双方责任与义务</w:t>
      </w:r>
    </w:p>
    <w:p w14:paraId="6A7F9DC9">
      <w:p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甲方:</w:t>
      </w:r>
    </w:p>
    <w:p w14:paraId="6835DBFB">
      <w:pPr>
        <w:numPr>
          <w:ilvl w:val="0"/>
          <w:numId w:val="2"/>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甲方应安排专职值班员负责火灾报警系统的日常值班工作，并填写工作记录本。</w:t>
      </w:r>
    </w:p>
    <w:p w14:paraId="542B30FA">
      <w:pPr>
        <w:numPr>
          <w:ilvl w:val="0"/>
          <w:numId w:val="2"/>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甲方工作人员发现问题应及时通知乙方进行处理并为乙方执行本合同提供必要的工作方便。</w:t>
      </w:r>
    </w:p>
    <w:p w14:paraId="396A6020">
      <w:pPr>
        <w:numPr>
          <w:ilvl w:val="0"/>
          <w:numId w:val="2"/>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甲方应指定专人负责施工现场并配合乙方做好相关部门的协调工作，以保证乙方工作及时顺利进行。</w:t>
      </w:r>
    </w:p>
    <w:p w14:paraId="6E76DE79">
      <w:pPr>
        <w:numPr>
          <w:ilvl w:val="0"/>
          <w:numId w:val="2"/>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按合同规定的金额和支付方式支付乙方维修保养费用。</w:t>
      </w:r>
    </w:p>
    <w:p w14:paraId="26FC8385">
      <w:p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w:t>
      </w:r>
    </w:p>
    <w:p w14:paraId="3C4C0A07">
      <w:pPr>
        <w:numPr>
          <w:ilvl w:val="0"/>
          <w:numId w:val="3"/>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乙方承接消防系统的维护保养年度检测任务后，对该项目消防系统做到精心维护，科学检修。</w:t>
      </w:r>
    </w:p>
    <w:p w14:paraId="0106A697">
      <w:pPr>
        <w:numPr>
          <w:ilvl w:val="0"/>
          <w:numId w:val="3"/>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乙方驻场人员、维保人员应遵守甲方的管理制度及作息时间。充分尊重甲方的意见，与甲方密切协调配合，完成定期的维护保养工作。本项目乙方项目负责人</w:t>
      </w:r>
      <w:r>
        <w:rPr>
          <w:rFonts w:hint="eastAsia" w:cs="宋体" w:asciiTheme="minorEastAsia" w:hAnsiTheme="minorEastAsia" w:eastAsiaTheme="minorEastAsia"/>
          <w:sz w:val="24"/>
          <w:szCs w:val="24"/>
          <w:highlight w:val="none"/>
          <w:u w:val="single"/>
        </w:rPr>
        <w:t xml:space="preserve">  </w:t>
      </w:r>
      <w:r>
        <w:rPr>
          <w:rFonts w:hint="eastAsia" w:cs="宋体" w:asciiTheme="minorEastAsia" w:hAnsiTheme="minorEastAsia" w:eastAsiaTheme="minorEastAsia"/>
          <w:sz w:val="24"/>
          <w:szCs w:val="24"/>
          <w:highlight w:val="none"/>
        </w:rPr>
        <w:t>。</w:t>
      </w:r>
    </w:p>
    <w:p w14:paraId="4DAE984D">
      <w:pPr>
        <w:numPr>
          <w:ilvl w:val="0"/>
          <w:numId w:val="3"/>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乙方对甲方整体消防系统及设施进行全面维护及保养，每月不少于2次，每年不少于24次，出具月维保记录表，每月出具维护保养报告。确保甲方消防系统及设施时刻处于正常运转工作状态。</w:t>
      </w:r>
    </w:p>
    <w:p w14:paraId="4B7D8FA0">
      <w:pPr>
        <w:numPr>
          <w:ilvl w:val="0"/>
          <w:numId w:val="3"/>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乙方对甲方消防负责人员进行不定期培训。对整个医院消防系统提出合理化建议，并协助配合甲方做好省市区及消防、医疗等部门的消防检查工作。</w:t>
      </w:r>
    </w:p>
    <w:p w14:paraId="6DEBD8DF">
      <w:pPr>
        <w:numPr>
          <w:ilvl w:val="0"/>
          <w:numId w:val="3"/>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甲方消防负责人员如有变动，乙方随时派专业技术人员进行培训，详细介绍系统的组成、日常操作、注意事项等，使甲方人员可以正确和熟练操作设备，掌握发生火灾或故障时的处理方法。</w:t>
      </w:r>
    </w:p>
    <w:p w14:paraId="22DCF926">
      <w:pPr>
        <w:numPr>
          <w:ilvl w:val="0"/>
          <w:numId w:val="3"/>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应严格执行日常维修、定期检修和紧急接故等维护保养工作。乙方维修工作完毕后应保证所有消防设施均为正常运行状态。每次保养后，乙方应向甲方提供一份由乙方技术人员签名的保养记录，并由甲方主管领导或指定代表签字确认。月度维保检测中发现的问题乙方要有解决方案并有上报检测效果评价。消防设备在使用过程中如有损坏乙方负责维修，如果设备严重损坏至无法修复需要更换时，乙方需向甲方主管部门提出，经甲方同意后再行更换，更换费用由甲方自行承担，乙方并按设备成本报价合理收取。</w:t>
      </w:r>
    </w:p>
    <w:p w14:paraId="5C1A84B3">
      <w:pPr>
        <w:numPr>
          <w:ilvl w:val="0"/>
          <w:numId w:val="3"/>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乙方根据甲方现场实际所用烟感、温感、喷淋等易损消防设备情况，在医院消防控制室内建立消防设备配件柜，做好消防故障快速修复工作。</w:t>
      </w:r>
    </w:p>
    <w:p w14:paraId="4F526CC5">
      <w:pPr>
        <w:numPr>
          <w:ilvl w:val="0"/>
          <w:numId w:val="3"/>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乙方根据合同签订的维保项目对工程范围内的设备进行维护保养，保障其系统正常运行（不可抗拒的自然灾害和人为破坏等因素除外)。</w:t>
      </w:r>
    </w:p>
    <w:p w14:paraId="6D79B418">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十、质量保证</w:t>
      </w:r>
    </w:p>
    <w:p w14:paraId="33B2072C">
      <w:p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乙方所维保设备必须执行下列条款:</w:t>
      </w:r>
    </w:p>
    <w:p w14:paraId="49617145">
      <w:pPr>
        <w:numPr>
          <w:ilvl w:val="0"/>
          <w:numId w:val="4"/>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符合有关规范要求，确保维保期内设备达到最佳运行状态，</w:t>
      </w:r>
    </w:p>
    <w:p w14:paraId="62A208E1">
      <w:pPr>
        <w:numPr>
          <w:ilvl w:val="0"/>
          <w:numId w:val="4"/>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必须保证全年365天开机率100%.</w:t>
      </w:r>
    </w:p>
    <w:p w14:paraId="1B4FD775">
      <w:pPr>
        <w:numPr>
          <w:ilvl w:val="0"/>
          <w:numId w:val="4"/>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维修更换备件应为合格全新备件。</w:t>
      </w:r>
    </w:p>
    <w:p w14:paraId="18E614D4">
      <w:pPr>
        <w:numPr>
          <w:ilvl w:val="0"/>
          <w:numId w:val="4"/>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每月月底提供当月设备运行维护报告</w:t>
      </w:r>
    </w:p>
    <w:p w14:paraId="0556D629">
      <w:pPr>
        <w:numPr>
          <w:ilvl w:val="0"/>
          <w:numId w:val="4"/>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服务期内配件免费更换，更换配件不得使用二手配件。</w:t>
      </w:r>
    </w:p>
    <w:p w14:paraId="31BDF715">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其他说明：</w:t>
      </w:r>
    </w:p>
    <w:p w14:paraId="2B3FCFE3">
      <w:p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lang w:val="zh-CN"/>
        </w:rPr>
      </w:pPr>
      <w:r>
        <w:rPr>
          <w:rFonts w:hint="eastAsia" w:cs="宋体" w:asciiTheme="minorEastAsia" w:hAnsiTheme="minorEastAsia" w:eastAsiaTheme="minorEastAsia"/>
          <w:sz w:val="24"/>
          <w:szCs w:val="24"/>
          <w:highlight w:val="none"/>
        </w:rPr>
        <w:t>1、建立</w:t>
      </w:r>
      <w:r>
        <w:rPr>
          <w:rFonts w:hint="eastAsia" w:cs="宋体" w:asciiTheme="minorEastAsia" w:hAnsiTheme="minorEastAsia" w:eastAsiaTheme="minorEastAsia"/>
          <w:sz w:val="24"/>
          <w:szCs w:val="24"/>
          <w:highlight w:val="none"/>
          <w:lang w:val="zh-CN"/>
        </w:rPr>
        <w:t>月检、季检和年检的详细工作计划，月检在每月完成，季检在当季度完成，年检在当年度完成。每次检查完毕，乙方须提供检查报告，甲方须在报告上签字或盖章确认，双方各留一份，具体以实际合同签署日期当日后执行。</w:t>
      </w:r>
    </w:p>
    <w:p w14:paraId="7962A2BE">
      <w:p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lang w:val="zh-CN"/>
        </w:rPr>
      </w:pPr>
      <w:r>
        <w:rPr>
          <w:rFonts w:hint="eastAsia" w:cs="宋体" w:asciiTheme="minorEastAsia" w:hAnsiTheme="minorEastAsia" w:eastAsiaTheme="minorEastAsia"/>
          <w:sz w:val="24"/>
          <w:szCs w:val="24"/>
          <w:highlight w:val="none"/>
          <w:lang w:val="zh-CN"/>
        </w:rPr>
        <w:t>备注：此报告</w:t>
      </w:r>
      <w:r>
        <w:rPr>
          <w:rFonts w:hint="eastAsia" w:cs="宋体" w:asciiTheme="minorEastAsia" w:hAnsiTheme="minorEastAsia" w:eastAsiaTheme="minorEastAsia"/>
          <w:sz w:val="24"/>
          <w:szCs w:val="24"/>
          <w:highlight w:val="none"/>
        </w:rPr>
        <w:t>类型为</w:t>
      </w:r>
      <w:r>
        <w:rPr>
          <w:rFonts w:hint="eastAsia" w:cs="宋体" w:asciiTheme="minorEastAsia" w:hAnsiTheme="minorEastAsia" w:eastAsiaTheme="minorEastAsia"/>
          <w:sz w:val="24"/>
          <w:szCs w:val="24"/>
          <w:highlight w:val="none"/>
          <w:lang w:val="zh-CN"/>
        </w:rPr>
        <w:t>小蜜蜂</w:t>
      </w:r>
      <w:r>
        <w:rPr>
          <w:rFonts w:hint="eastAsia" w:cs="宋体" w:asciiTheme="minorEastAsia" w:hAnsiTheme="minorEastAsia" w:eastAsiaTheme="minorEastAsia"/>
          <w:sz w:val="24"/>
          <w:szCs w:val="24"/>
          <w:highlight w:val="none"/>
        </w:rPr>
        <w:t>消防</w:t>
      </w:r>
      <w:r>
        <w:rPr>
          <w:rFonts w:hint="eastAsia" w:cs="宋体" w:asciiTheme="minorEastAsia" w:hAnsiTheme="minorEastAsia" w:eastAsiaTheme="minorEastAsia"/>
          <w:sz w:val="24"/>
          <w:szCs w:val="24"/>
          <w:highlight w:val="none"/>
          <w:lang w:val="zh-CN"/>
        </w:rPr>
        <w:t>服务平台出具的月度、季度、年度</w:t>
      </w:r>
      <w:r>
        <w:rPr>
          <w:rFonts w:hint="eastAsia" w:cs="宋体" w:asciiTheme="minorEastAsia" w:hAnsiTheme="minorEastAsia" w:eastAsiaTheme="minorEastAsia"/>
          <w:sz w:val="24"/>
          <w:szCs w:val="24"/>
          <w:highlight w:val="none"/>
        </w:rPr>
        <w:t>检查</w:t>
      </w:r>
      <w:r>
        <w:rPr>
          <w:rFonts w:hint="eastAsia" w:cs="宋体" w:asciiTheme="minorEastAsia" w:hAnsiTheme="minorEastAsia" w:eastAsiaTheme="minorEastAsia"/>
          <w:sz w:val="24"/>
          <w:szCs w:val="24"/>
          <w:highlight w:val="none"/>
          <w:lang w:val="zh-CN"/>
        </w:rPr>
        <w:t>报告。</w:t>
      </w:r>
    </w:p>
    <w:p w14:paraId="7626E97A">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十一、违约责任:</w:t>
      </w:r>
    </w:p>
    <w:p w14:paraId="4EEC244C">
      <w:pPr>
        <w:snapToGrid w:val="0"/>
        <w:spacing w:before="156" w:beforeLines="50" w:after="156" w:afterLines="50" w:line="380" w:lineRule="exact"/>
        <w:ind w:firstLine="420"/>
        <w:rPr>
          <w:rFonts w:hint="eastAsia"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（一）按《政府采购法》、《民法典》中相关条款执行。</w:t>
      </w:r>
    </w:p>
    <w:p w14:paraId="0609CC63">
      <w:pPr>
        <w:snapToGrid w:val="0"/>
        <w:spacing w:before="156" w:beforeLines="50" w:after="156" w:afterLines="50" w:line="380" w:lineRule="exact"/>
        <w:ind w:firstLine="420"/>
        <w:rPr>
          <w:rFonts w:hint="eastAsia"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（二）未按合同要求执行维保服务或维保服务质量不能满足谈判技术要求，乙方需要无条件更换、提高技术、完善质量，否则，甲方有权解除合同。</w:t>
      </w:r>
    </w:p>
    <w:p w14:paraId="58A094E0">
      <w:pPr>
        <w:snapToGrid w:val="0"/>
        <w:spacing w:before="156" w:beforeLines="50" w:after="156" w:afterLines="50" w:line="380" w:lineRule="exact"/>
        <w:ind w:firstLine="420"/>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sz w:val="24"/>
          <w:szCs w:val="24"/>
          <w:highlight w:val="none"/>
        </w:rPr>
        <w:t>（三）如因乙方工作人员</w:t>
      </w:r>
      <w:r>
        <w:rPr>
          <w:rFonts w:hint="eastAsia" w:cs="宋体" w:asciiTheme="minorEastAsia" w:hAnsiTheme="minorEastAsia" w:eastAsiaTheme="minorEastAsia"/>
          <w:color w:val="auto"/>
          <w:sz w:val="24"/>
          <w:szCs w:val="24"/>
          <w:highlight w:val="none"/>
        </w:rPr>
        <w:t>在</w:t>
      </w:r>
      <w:r>
        <w:rPr>
          <w:rFonts w:hint="eastAsia" w:cs="宋体" w:asciiTheme="minorEastAsia" w:hAnsiTheme="minorEastAsia" w:eastAsiaTheme="minorEastAsia"/>
          <w:color w:val="auto"/>
          <w:sz w:val="24"/>
          <w:szCs w:val="24"/>
          <w:highlight w:val="none"/>
          <w:lang w:val="en-US" w:eastAsia="zh-CN"/>
        </w:rPr>
        <w:t>履行</w:t>
      </w:r>
      <w:r>
        <w:rPr>
          <w:rFonts w:hint="eastAsia" w:cs="宋体" w:asciiTheme="minorEastAsia" w:hAnsiTheme="minorEastAsia" w:eastAsiaTheme="minorEastAsia"/>
          <w:color w:val="auto"/>
          <w:sz w:val="24"/>
          <w:szCs w:val="24"/>
          <w:highlight w:val="none"/>
        </w:rPr>
        <w:t>职务</w:t>
      </w:r>
      <w:r>
        <w:rPr>
          <w:rFonts w:hint="eastAsia" w:cs="宋体" w:asciiTheme="minorEastAsia" w:hAnsiTheme="minorEastAsia" w:eastAsiaTheme="minorEastAsia"/>
          <w:sz w:val="24"/>
          <w:szCs w:val="24"/>
          <w:highlight w:val="none"/>
        </w:rPr>
        <w:t>过程中的疏忽、失职、过错</w:t>
      </w:r>
      <w:r>
        <w:rPr>
          <w:rFonts w:hint="eastAsia" w:cs="宋体" w:asciiTheme="minorEastAsia" w:hAnsiTheme="minorEastAsia" w:eastAsiaTheme="minorEastAsia"/>
          <w:sz w:val="24"/>
          <w:szCs w:val="24"/>
          <w:highlight w:val="none"/>
          <w:lang w:eastAsia="zh-CN"/>
        </w:rPr>
        <w:t>等</w:t>
      </w:r>
      <w:r>
        <w:rPr>
          <w:rFonts w:hint="eastAsia" w:cs="宋体" w:asciiTheme="minorEastAsia" w:hAnsiTheme="minorEastAsia" w:eastAsiaTheme="minorEastAsia"/>
          <w:color w:val="auto"/>
          <w:sz w:val="24"/>
          <w:szCs w:val="24"/>
          <w:highlight w:val="none"/>
          <w:lang w:eastAsia="zh-CN"/>
        </w:rPr>
        <w:t>故意</w:t>
      </w:r>
      <w:r>
        <w:rPr>
          <w:rFonts w:hint="eastAsia" w:cs="宋体" w:asciiTheme="minorEastAsia" w:hAnsiTheme="minorEastAsia" w:eastAsiaTheme="minorEastAsia"/>
          <w:color w:val="auto"/>
          <w:sz w:val="24"/>
          <w:szCs w:val="24"/>
          <w:highlight w:val="none"/>
        </w:rPr>
        <w:t>或者过失原因给甲方造成损失或侵害，包括但不限于甲方本身的财产损失，由此导致的甲方对</w:t>
      </w:r>
      <w:r>
        <w:rPr>
          <w:rFonts w:hint="eastAsia" w:cs="宋体" w:asciiTheme="minorEastAsia" w:hAnsiTheme="minorEastAsia" w:eastAsiaTheme="minorEastAsia"/>
          <w:color w:val="auto"/>
          <w:sz w:val="24"/>
          <w:szCs w:val="24"/>
          <w:highlight w:val="none"/>
          <w:lang w:eastAsia="zh-CN"/>
        </w:rPr>
        <w:t>任何</w:t>
      </w:r>
      <w:r>
        <w:rPr>
          <w:rFonts w:hint="eastAsia" w:cs="宋体" w:asciiTheme="minorEastAsia" w:hAnsiTheme="minorEastAsia" w:eastAsiaTheme="minorEastAsia"/>
          <w:color w:val="auto"/>
          <w:sz w:val="24"/>
          <w:szCs w:val="24"/>
          <w:highlight w:val="none"/>
        </w:rPr>
        <w:t>第三方的法律责任等，乙方对此均承担全部的赔偿责任。</w:t>
      </w:r>
    </w:p>
    <w:p w14:paraId="239BB520">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十二、合同争议解决的方式</w:t>
      </w:r>
    </w:p>
    <w:p w14:paraId="3635A1FF">
      <w:pPr>
        <w:snapToGrid w:val="0"/>
        <w:spacing w:before="156" w:beforeLines="50" w:after="156" w:afterLines="50" w:line="380" w:lineRule="exact"/>
        <w:ind w:firstLine="240" w:firstLineChars="1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本合同在履行过程中发生的争议，由甲，乙双方当事人协商解决，协商不成的按下列方式中第二种方式解决:</w:t>
      </w:r>
    </w:p>
    <w:p w14:paraId="603015A5">
      <w:pPr>
        <w:numPr>
          <w:ilvl w:val="0"/>
          <w:numId w:val="5"/>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提交西安仲栽委员会仲载:</w:t>
      </w:r>
    </w:p>
    <w:p w14:paraId="65C269DB">
      <w:pPr>
        <w:numPr>
          <w:ilvl w:val="0"/>
          <w:numId w:val="5"/>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依法向甲方所在地人民法院起诉。</w:t>
      </w:r>
    </w:p>
    <w:p w14:paraId="3519ED04">
      <w:pPr>
        <w:snapToGrid w:val="0"/>
        <w:spacing w:before="156" w:beforeLines="50" w:after="156" w:afterLines="50" w:line="380" w:lineRule="exact"/>
        <w:ind w:firstLine="42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十三、其他:</w:t>
      </w:r>
    </w:p>
    <w:p w14:paraId="667EB700">
      <w:pPr>
        <w:numPr>
          <w:ilvl w:val="0"/>
          <w:numId w:val="6"/>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本合同一式伍份，甲方执肆份，乙方执壹份，经双方签字盖章生效，具有同等法律效力。</w:t>
      </w:r>
    </w:p>
    <w:p w14:paraId="3AD559C0">
      <w:pPr>
        <w:numPr>
          <w:ilvl w:val="0"/>
          <w:numId w:val="6"/>
        </w:numPr>
        <w:snapToGrid w:val="0"/>
        <w:spacing w:before="156" w:beforeLines="50" w:after="156" w:afterLines="50" w:line="380" w:lineRule="exact"/>
        <w:ind w:firstLine="480" w:firstLineChars="200"/>
        <w:rPr>
          <w:rFonts w:cs="宋体" w:asciiTheme="minorEastAsia" w:hAnsiTheme="minorEastAsia" w:eastAsiaTheme="minorEastAsia"/>
          <w:sz w:val="24"/>
          <w:szCs w:val="24"/>
          <w:highlight w:val="none"/>
        </w:rPr>
      </w:pPr>
      <w:r>
        <w:rPr>
          <w:rFonts w:hint="eastAsia" w:cs="宋体" w:asciiTheme="minorEastAsia" w:hAnsiTheme="minorEastAsia" w:eastAsiaTheme="minorEastAsia"/>
          <w:sz w:val="24"/>
          <w:szCs w:val="24"/>
          <w:highlight w:val="none"/>
        </w:rPr>
        <w:t>协议未尽事项，由甲、乙双方另行议定，并签定补充协议。如果双方合作满意并符合相关政策，可续签一年。</w:t>
      </w:r>
    </w:p>
    <w:p w14:paraId="488320FF">
      <w:pPr>
        <w:pStyle w:val="6"/>
        <w:numPr>
          <w:ilvl w:val="1"/>
          <w:numId w:val="0"/>
        </w:numPr>
        <w:spacing w:before="156" w:beforeLines="50" w:after="156" w:afterLines="50"/>
        <w:ind w:left="1838"/>
        <w:rPr>
          <w:rFonts w:asciiTheme="minorEastAsia" w:hAnsiTheme="minorEastAsia" w:eastAsiaTheme="minorEastAsia"/>
          <w:sz w:val="24"/>
          <w:highlight w:val="none"/>
        </w:rPr>
      </w:pPr>
    </w:p>
    <w:p w14:paraId="5CC164EC">
      <w:pPr>
        <w:pStyle w:val="2"/>
        <w:snapToGrid w:val="0"/>
        <w:spacing w:line="360" w:lineRule="auto"/>
        <w:ind w:right="63"/>
        <w:rPr>
          <w:rFonts w:cs="宋体" w:asciiTheme="minorEastAsia" w:hAnsiTheme="minorEastAsia" w:eastAsiaTheme="minorEastAsia"/>
          <w:sz w:val="24"/>
          <w:highlight w:val="none"/>
        </w:rPr>
      </w:pPr>
      <w:r>
        <w:rPr>
          <w:rFonts w:hint="eastAsia" w:cs="宋体" w:asciiTheme="minorEastAsia" w:hAnsiTheme="minorEastAsia" w:eastAsiaTheme="minorEastAsia"/>
          <w:sz w:val="24"/>
          <w:szCs w:val="24"/>
          <w:highlight w:val="none"/>
        </w:rPr>
        <w:t>（以下无正文）</w:t>
      </w:r>
    </w:p>
    <w:tbl>
      <w:tblPr>
        <w:tblStyle w:val="4"/>
        <w:tblpPr w:leftFromText="180" w:rightFromText="180" w:vertAnchor="text" w:horzAnchor="page" w:tblpX="1600" w:tblpY="810"/>
        <w:tblOverlap w:val="never"/>
        <w:tblW w:w="9760" w:type="dxa"/>
        <w:tblInd w:w="0" w:type="dxa"/>
        <w:tblLayout w:type="fixed"/>
        <w:tblCellMar>
          <w:top w:w="0" w:type="dxa"/>
          <w:left w:w="0" w:type="dxa"/>
          <w:bottom w:w="0" w:type="dxa"/>
          <w:right w:w="0" w:type="dxa"/>
        </w:tblCellMar>
      </w:tblPr>
      <w:tblGrid>
        <w:gridCol w:w="4564"/>
        <w:gridCol w:w="5196"/>
      </w:tblGrid>
      <w:tr w14:paraId="325C222C">
        <w:tblPrEx>
          <w:tblCellMar>
            <w:top w:w="0" w:type="dxa"/>
            <w:left w:w="0" w:type="dxa"/>
            <w:bottom w:w="0" w:type="dxa"/>
            <w:right w:w="0" w:type="dxa"/>
          </w:tblCellMar>
        </w:tblPrEx>
        <w:trPr>
          <w:trHeight w:val="4480" w:hRule="atLeast"/>
        </w:trPr>
        <w:tc>
          <w:tcPr>
            <w:tcW w:w="4564" w:type="dxa"/>
            <w:tcMar>
              <w:top w:w="0" w:type="dxa"/>
              <w:left w:w="108" w:type="dxa"/>
              <w:bottom w:w="0" w:type="dxa"/>
              <w:right w:w="108" w:type="dxa"/>
            </w:tcMar>
          </w:tcPr>
          <w:p w14:paraId="55209D03">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甲方：西安市胸科医院（公章）</w:t>
            </w:r>
          </w:p>
          <w:p w14:paraId="66D3221A">
            <w:pPr>
              <w:spacing w:line="440" w:lineRule="exact"/>
              <w:rPr>
                <w:rFonts w:cs="仿宋" w:asciiTheme="minorEastAsia" w:hAnsiTheme="minorEastAsia" w:eastAsiaTheme="minorEastAsia"/>
                <w:sz w:val="24"/>
                <w:szCs w:val="24"/>
                <w:highlight w:val="none"/>
              </w:rPr>
            </w:pPr>
          </w:p>
          <w:p w14:paraId="7CBFB892">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地址：西安市长安区航天大道东段杜陵西路2000号</w:t>
            </w:r>
          </w:p>
          <w:p w14:paraId="2C188D70">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 xml:space="preserve">法定代表人：（签字或盖章）             </w:t>
            </w:r>
          </w:p>
          <w:p w14:paraId="599D7555">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代理人：（签字）</w:t>
            </w:r>
          </w:p>
          <w:p w14:paraId="5EF466F3">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项目主管部门负责人：（签字）</w:t>
            </w:r>
          </w:p>
          <w:p w14:paraId="5D9EA4A3">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招采办负责人：（签字）</w:t>
            </w:r>
          </w:p>
          <w:p w14:paraId="055AFDB5">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联系电话：029-62500131</w:t>
            </w:r>
          </w:p>
          <w:p w14:paraId="2AED34DE">
            <w:pPr>
              <w:spacing w:line="440" w:lineRule="exact"/>
              <w:rPr>
                <w:rFonts w:cs="仿宋" w:asciiTheme="minorEastAsia" w:hAnsiTheme="minorEastAsia" w:eastAsiaTheme="minorEastAsia"/>
                <w:sz w:val="32"/>
                <w:szCs w:val="32"/>
                <w:highlight w:val="none"/>
              </w:rPr>
            </w:pPr>
            <w:r>
              <w:rPr>
                <w:rFonts w:hint="eastAsia" w:cs="仿宋" w:asciiTheme="minorEastAsia" w:hAnsiTheme="minorEastAsia" w:eastAsiaTheme="minorEastAsia"/>
                <w:sz w:val="24"/>
                <w:szCs w:val="24"/>
                <w:highlight w:val="none"/>
              </w:rPr>
              <w:t>签订日期：202  年  月   日</w:t>
            </w:r>
          </w:p>
        </w:tc>
        <w:tc>
          <w:tcPr>
            <w:tcW w:w="5196" w:type="dxa"/>
            <w:tcMar>
              <w:top w:w="0" w:type="dxa"/>
              <w:left w:w="108" w:type="dxa"/>
              <w:bottom w:w="0" w:type="dxa"/>
              <w:right w:w="108" w:type="dxa"/>
            </w:tcMar>
          </w:tcPr>
          <w:p w14:paraId="747E3338">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乙方：               （公章）</w:t>
            </w:r>
          </w:p>
          <w:p w14:paraId="5C6E13DE">
            <w:pPr>
              <w:spacing w:line="440" w:lineRule="exact"/>
              <w:rPr>
                <w:rFonts w:cs="仿宋" w:asciiTheme="minorEastAsia" w:hAnsiTheme="minorEastAsia" w:eastAsiaTheme="minorEastAsia"/>
                <w:sz w:val="24"/>
                <w:szCs w:val="24"/>
                <w:highlight w:val="none"/>
              </w:rPr>
            </w:pPr>
          </w:p>
          <w:p w14:paraId="7501D738">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地址：</w:t>
            </w:r>
          </w:p>
          <w:p w14:paraId="64D84D3D">
            <w:pPr>
              <w:spacing w:line="440" w:lineRule="exact"/>
              <w:rPr>
                <w:rFonts w:cs="仿宋" w:asciiTheme="minorEastAsia" w:hAnsiTheme="minorEastAsia" w:eastAsiaTheme="minorEastAsia"/>
                <w:sz w:val="24"/>
                <w:szCs w:val="24"/>
                <w:highlight w:val="none"/>
              </w:rPr>
            </w:pPr>
          </w:p>
          <w:p w14:paraId="13C13C79">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法定代表人：（签字或盖章）</w:t>
            </w:r>
          </w:p>
          <w:p w14:paraId="21C5E63D">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经办人：（签字）</w:t>
            </w:r>
          </w:p>
          <w:p w14:paraId="79172F53">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 xml:space="preserve">开户银行： </w:t>
            </w:r>
          </w:p>
          <w:p w14:paraId="2DC63131">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 xml:space="preserve">银行账号： </w:t>
            </w:r>
          </w:p>
          <w:p w14:paraId="7046986D">
            <w:pPr>
              <w:spacing w:line="440" w:lineRule="exact"/>
              <w:rPr>
                <w:rFonts w:cs="仿宋" w:asciiTheme="minorEastAsia" w:hAnsiTheme="minorEastAsia" w:eastAsiaTheme="minorEastAsia"/>
                <w:sz w:val="24"/>
                <w:szCs w:val="24"/>
                <w:highlight w:val="none"/>
              </w:rPr>
            </w:pPr>
            <w:r>
              <w:rPr>
                <w:rFonts w:hint="eastAsia" w:cs="仿宋" w:asciiTheme="minorEastAsia" w:hAnsiTheme="minorEastAsia" w:eastAsiaTheme="minorEastAsia"/>
                <w:sz w:val="24"/>
                <w:szCs w:val="24"/>
                <w:highlight w:val="none"/>
              </w:rPr>
              <w:t>联系电话：</w:t>
            </w:r>
          </w:p>
          <w:p w14:paraId="704809AB">
            <w:pPr>
              <w:spacing w:line="440" w:lineRule="exact"/>
              <w:rPr>
                <w:rFonts w:cs="仿宋" w:asciiTheme="minorEastAsia" w:hAnsiTheme="minorEastAsia" w:eastAsiaTheme="minorEastAsia"/>
                <w:sz w:val="32"/>
                <w:szCs w:val="32"/>
                <w:highlight w:val="none"/>
              </w:rPr>
            </w:pPr>
            <w:r>
              <w:rPr>
                <w:rFonts w:hint="eastAsia" w:cs="仿宋" w:asciiTheme="minorEastAsia" w:hAnsiTheme="minorEastAsia" w:eastAsiaTheme="minorEastAsia"/>
                <w:sz w:val="24"/>
                <w:szCs w:val="24"/>
                <w:highlight w:val="none"/>
              </w:rPr>
              <w:t>签订日期：202  年  月   日</w:t>
            </w:r>
          </w:p>
        </w:tc>
      </w:tr>
    </w:tbl>
    <w:p w14:paraId="203730B2">
      <w:pPr>
        <w:spacing w:before="156" w:beforeLines="50" w:after="156" w:afterLines="50" w:line="460" w:lineRule="exact"/>
        <w:rPr>
          <w:rFonts w:asciiTheme="minorEastAsia" w:hAnsiTheme="minorEastAsia" w:eastAsiaTheme="minorEastAsia"/>
          <w:szCs w:val="21"/>
          <w:highlight w:val="none"/>
        </w:rPr>
      </w:pPr>
      <w:bookmarkStart w:id="0" w:name="_GoBack"/>
      <w:bookmarkEnd w:id="0"/>
    </w:p>
    <w:p w14:paraId="03A438D0">
      <w:pPr>
        <w:pStyle w:val="3"/>
        <w:snapToGrid w:val="0"/>
        <w:spacing w:line="360" w:lineRule="auto"/>
        <w:jc w:val="both"/>
        <w:rPr>
          <w:rFonts w:asciiTheme="minorEastAsia" w:hAnsiTheme="minorEastAsia" w:eastAsiaTheme="minorEastAsia"/>
          <w:b/>
          <w:sz w:val="44"/>
          <w:szCs w:val="44"/>
        </w:rPr>
      </w:pPr>
      <w:r>
        <w:rPr>
          <w:rFonts w:asciiTheme="minorEastAsia" w:hAnsiTheme="minorEastAsia" w:eastAsiaTheme="minorEastAsia"/>
          <w:b/>
          <w:sz w:val="36"/>
          <w:szCs w:val="36"/>
        </w:rPr>
        <w:br w:type="page"/>
      </w:r>
    </w:p>
    <w:p w14:paraId="67A74C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62C88"/>
    <w:multiLevelType w:val="singleLevel"/>
    <w:tmpl w:val="BBF62C88"/>
    <w:lvl w:ilvl="0" w:tentative="0">
      <w:start w:val="1"/>
      <w:numFmt w:val="chineseCounting"/>
      <w:lvlText w:val="(%1)"/>
      <w:lvlJc w:val="left"/>
      <w:pPr>
        <w:tabs>
          <w:tab w:val="left" w:pos="312"/>
        </w:tabs>
      </w:pPr>
      <w:rPr>
        <w:rFonts w:hint="eastAsia"/>
      </w:rPr>
    </w:lvl>
  </w:abstractNum>
  <w:abstractNum w:abstractNumId="1">
    <w:nsid w:val="CECA284A"/>
    <w:multiLevelType w:val="singleLevel"/>
    <w:tmpl w:val="CECA284A"/>
    <w:lvl w:ilvl="0" w:tentative="0">
      <w:start w:val="1"/>
      <w:numFmt w:val="chineseCounting"/>
      <w:lvlText w:val="(%1)"/>
      <w:lvlJc w:val="left"/>
      <w:pPr>
        <w:tabs>
          <w:tab w:val="left" w:pos="312"/>
        </w:tabs>
      </w:pPr>
      <w:rPr>
        <w:rFonts w:hint="eastAsia"/>
      </w:rPr>
    </w:lvl>
  </w:abstractNum>
  <w:abstractNum w:abstractNumId="2">
    <w:nsid w:val="D6430B0C"/>
    <w:multiLevelType w:val="singleLevel"/>
    <w:tmpl w:val="D6430B0C"/>
    <w:lvl w:ilvl="0" w:tentative="0">
      <w:start w:val="1"/>
      <w:numFmt w:val="chineseCounting"/>
      <w:lvlText w:val="(%1)"/>
      <w:lvlJc w:val="left"/>
      <w:pPr>
        <w:tabs>
          <w:tab w:val="left" w:pos="312"/>
        </w:tabs>
      </w:pPr>
      <w:rPr>
        <w:rFonts w:hint="eastAsia"/>
      </w:rPr>
    </w:lvl>
  </w:abstractNum>
  <w:abstractNum w:abstractNumId="3">
    <w:nsid w:val="30837029"/>
    <w:multiLevelType w:val="singleLevel"/>
    <w:tmpl w:val="30837029"/>
    <w:lvl w:ilvl="0" w:tentative="0">
      <w:start w:val="1"/>
      <w:numFmt w:val="chineseCounting"/>
      <w:lvlText w:val="(%1)"/>
      <w:lvlJc w:val="left"/>
      <w:pPr>
        <w:tabs>
          <w:tab w:val="left" w:pos="312"/>
        </w:tabs>
      </w:pPr>
      <w:rPr>
        <w:rFonts w:hint="eastAsia"/>
      </w:rPr>
    </w:lvl>
  </w:abstractNum>
  <w:abstractNum w:abstractNumId="4">
    <w:nsid w:val="358A2FA3"/>
    <w:multiLevelType w:val="multilevel"/>
    <w:tmpl w:val="358A2FA3"/>
    <w:lvl w:ilvl="0" w:tentative="0">
      <w:start w:val="1"/>
      <w:numFmt w:val="bullet"/>
      <w:lvlText w:val=""/>
      <w:lvlJc w:val="left"/>
      <w:pPr>
        <w:tabs>
          <w:tab w:val="left" w:pos="1814"/>
        </w:tabs>
        <w:ind w:left="1814" w:hanging="396"/>
      </w:pPr>
      <w:rPr>
        <w:rFonts w:hint="default" w:ascii="Wingdings" w:hAnsi="Wingdings"/>
      </w:rPr>
    </w:lvl>
    <w:lvl w:ilvl="1" w:tentative="0">
      <w:start w:val="1"/>
      <w:numFmt w:val="bullet"/>
      <w:pStyle w:val="6"/>
      <w:lvlText w:val=""/>
      <w:lvlJc w:val="left"/>
      <w:pPr>
        <w:ind w:left="2258" w:hanging="420"/>
      </w:pPr>
      <w:rPr>
        <w:rFonts w:hint="default" w:ascii="Wingdings" w:hAnsi="Wingdings"/>
      </w:rPr>
    </w:lvl>
    <w:lvl w:ilvl="2" w:tentative="0">
      <w:start w:val="1"/>
      <w:numFmt w:val="bullet"/>
      <w:lvlText w:val=""/>
      <w:lvlJc w:val="left"/>
      <w:pPr>
        <w:ind w:left="2678" w:hanging="420"/>
      </w:pPr>
      <w:rPr>
        <w:rFonts w:hint="default" w:ascii="Wingdings" w:hAnsi="Wingdings"/>
      </w:rPr>
    </w:lvl>
    <w:lvl w:ilvl="3" w:tentative="0">
      <w:start w:val="1"/>
      <w:numFmt w:val="bullet"/>
      <w:lvlText w:val=""/>
      <w:lvlJc w:val="left"/>
      <w:pPr>
        <w:ind w:left="3098" w:hanging="420"/>
      </w:pPr>
      <w:rPr>
        <w:rFonts w:hint="default" w:ascii="Wingdings" w:hAnsi="Wingdings"/>
      </w:rPr>
    </w:lvl>
    <w:lvl w:ilvl="4" w:tentative="0">
      <w:start w:val="1"/>
      <w:numFmt w:val="bullet"/>
      <w:lvlText w:val=""/>
      <w:lvlJc w:val="left"/>
      <w:pPr>
        <w:ind w:left="3518" w:hanging="420"/>
      </w:pPr>
      <w:rPr>
        <w:rFonts w:hint="default" w:ascii="Wingdings" w:hAnsi="Wingdings"/>
      </w:rPr>
    </w:lvl>
    <w:lvl w:ilvl="5" w:tentative="0">
      <w:start w:val="1"/>
      <w:numFmt w:val="bullet"/>
      <w:lvlText w:val=""/>
      <w:lvlJc w:val="left"/>
      <w:pPr>
        <w:ind w:left="3938" w:hanging="420"/>
      </w:pPr>
      <w:rPr>
        <w:rFonts w:hint="default" w:ascii="Wingdings" w:hAnsi="Wingdings"/>
      </w:rPr>
    </w:lvl>
    <w:lvl w:ilvl="6" w:tentative="0">
      <w:start w:val="1"/>
      <w:numFmt w:val="bullet"/>
      <w:lvlText w:val=""/>
      <w:lvlJc w:val="left"/>
      <w:pPr>
        <w:ind w:left="4358" w:hanging="420"/>
      </w:pPr>
      <w:rPr>
        <w:rFonts w:hint="default" w:ascii="Wingdings" w:hAnsi="Wingdings"/>
      </w:rPr>
    </w:lvl>
    <w:lvl w:ilvl="7" w:tentative="0">
      <w:start w:val="1"/>
      <w:numFmt w:val="bullet"/>
      <w:lvlText w:val=""/>
      <w:lvlJc w:val="left"/>
      <w:pPr>
        <w:ind w:left="4778" w:hanging="420"/>
      </w:pPr>
      <w:rPr>
        <w:rFonts w:hint="default" w:ascii="Wingdings" w:hAnsi="Wingdings"/>
      </w:rPr>
    </w:lvl>
    <w:lvl w:ilvl="8" w:tentative="0">
      <w:start w:val="1"/>
      <w:numFmt w:val="bullet"/>
      <w:lvlText w:val=""/>
      <w:lvlJc w:val="left"/>
      <w:pPr>
        <w:ind w:left="5198" w:hanging="420"/>
      </w:pPr>
      <w:rPr>
        <w:rFonts w:hint="default" w:ascii="Wingdings" w:hAnsi="Wingdings"/>
      </w:rPr>
    </w:lvl>
  </w:abstractNum>
  <w:abstractNum w:abstractNumId="5">
    <w:nsid w:val="6DC585D2"/>
    <w:multiLevelType w:val="singleLevel"/>
    <w:tmpl w:val="6DC585D2"/>
    <w:lvl w:ilvl="0" w:tentative="0">
      <w:start w:val="1"/>
      <w:numFmt w:val="chineseCounting"/>
      <w:lvlText w:val="(%1)"/>
      <w:lvlJc w:val="left"/>
      <w:pPr>
        <w:tabs>
          <w:tab w:val="left" w:pos="312"/>
        </w:tabs>
      </w:pPr>
      <w:rPr>
        <w:rFonts w:hint="eastAsia"/>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724822"/>
    <w:rsid w:val="52724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6">
    <w:name w:val="引言二级条标题"/>
    <w:basedOn w:val="1"/>
    <w:next w:val="1"/>
    <w:qFormat/>
    <w:uiPriority w:val="0"/>
    <w:pPr>
      <w:widowControl/>
      <w:numPr>
        <w:ilvl w:val="1"/>
        <w:numId w:val="1"/>
      </w:numPr>
      <w:tabs>
        <w:tab w:val="left" w:pos="360"/>
      </w:tabs>
    </w:pPr>
    <w:rPr>
      <w:rFonts w:eastAsia="黑体"/>
      <w:b/>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2025-11-03T07:33:00Z</dcterms:created>
  <dc:creator>xxxx.</dc:creator>
  <cp:lastModifiedBy>xxxx.</cp:lastModifiedBy>
  <dcterms:modified xsi:type="dcterms:W3CDTF">2025-11-03T07:34:23Z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7FC3D307FFDE4ECA83CBD17807B886D8_11</vt:lpwstr>
  </property>
  <property fmtid="{D5CDD505-2E9C-101B-9397-08002B2CF9AE}" pid="4" name="KSOTemplateDocerSaveRecord">
    <vt:lpwstr>eyJoZGlkIjoiNDFlZWIzODNkZTk3MmFiYmM2ZGZlNjlmNzYwNmRkNTEiLCJ1c2VySWQiOiIzMjEzMDQ0ODcifQ==</vt:lpwstr>
  </property>
</Properties>
</file>