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2"/>
        <w:jc w:val="center"/>
        <w:outlineLvl w:val="1"/>
        <w:rPr>
          <w:rFonts w:hint="default"/>
          <w:b/>
          <w:sz w:val="36"/>
        </w:rPr>
      </w:pPr>
      <w:r>
        <w:rPr>
          <w:b/>
          <w:sz w:val="36"/>
        </w:rPr>
        <w:t xml:space="preserve"> 拟签订采购合同文本</w:t>
      </w:r>
    </w:p>
    <w:p>
      <w:pPr>
        <w:pStyle w:val="4"/>
        <w:ind w:left="0" w:leftChars="0" w:right="1470"/>
      </w:pPr>
    </w:p>
    <w:p>
      <w:pPr>
        <w:pStyle w:val="13"/>
        <w:keepNext w:val="0"/>
        <w:keepLines w:val="0"/>
        <w:pageBreakBefore w:val="0"/>
        <w:kinsoku/>
        <w:overflowPunct/>
        <w:topLinePunct w:val="0"/>
        <w:autoSpaceDE/>
        <w:autoSpaceDN/>
        <w:bidi w:val="0"/>
        <w:adjustRightInd/>
        <w:snapToGrid/>
        <w:spacing w:line="360" w:lineRule="auto"/>
        <w:ind w:firstLine="48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注：本合同作为合同的基本格式，采购人有权在签订合同时对合同的相关条款及内容作进一步的细化和修改，但不得改变磋商文件及磋商响应文件、成交通知书规定的实质性内容）</w:t>
      </w:r>
    </w:p>
    <w:p>
      <w:pPr>
        <w:pStyle w:val="13"/>
        <w:keepNext w:val="0"/>
        <w:keepLines w:val="0"/>
        <w:pageBreakBefore w:val="0"/>
        <w:kinsoku/>
        <w:overflowPunct/>
        <w:topLinePunct w:val="0"/>
        <w:bidi w:val="0"/>
        <w:adjustRightInd/>
        <w:snapToGrid/>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采购人（以下称“甲方”）：</w:t>
      </w:r>
      <w:r>
        <w:rPr>
          <w:rFonts w:hint="eastAsia" w:ascii="仿宋" w:hAnsi="仿宋" w:eastAsia="仿宋" w:cs="仿宋"/>
          <w:color w:val="auto"/>
          <w:sz w:val="24"/>
          <w:szCs w:val="24"/>
          <w:highlight w:val="none"/>
          <w:u w:val="single"/>
          <w:lang w:val="en-US" w:eastAsia="zh-CN"/>
        </w:rPr>
        <w:t xml:space="preserve"> 西安市教育局 </w:t>
      </w:r>
      <w:r>
        <w:rPr>
          <w:rFonts w:hint="eastAsia" w:ascii="仿宋" w:hAnsi="仿宋" w:eastAsia="仿宋" w:cs="仿宋"/>
          <w:color w:val="auto"/>
          <w:sz w:val="24"/>
          <w:szCs w:val="24"/>
          <w:highlight w:val="none"/>
          <w:u w:val="none"/>
          <w:lang w:val="en-US" w:eastAsia="zh-CN"/>
        </w:rPr>
        <w:t xml:space="preserve"> </w:t>
      </w:r>
      <w:r>
        <w:rPr>
          <w:rFonts w:hint="eastAsia" w:ascii="仿宋" w:hAnsi="仿宋" w:eastAsia="仿宋" w:cs="仿宋"/>
          <w:color w:val="auto"/>
          <w:sz w:val="24"/>
          <w:szCs w:val="24"/>
          <w:highlight w:val="none"/>
        </w:rPr>
        <w:t xml:space="preserve">                                        </w:t>
      </w:r>
    </w:p>
    <w:p>
      <w:pPr>
        <w:pStyle w:val="13"/>
        <w:keepNext w:val="0"/>
        <w:keepLines w:val="0"/>
        <w:pageBreakBefore w:val="0"/>
        <w:kinsoku/>
        <w:overflowPunct/>
        <w:topLinePunct w:val="0"/>
        <w:bidi w:val="0"/>
        <w:adjustRightInd/>
        <w:snapToGrid/>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地址：</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西安市凤城八路109号市政府6号楼</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none"/>
        </w:rPr>
        <w:t xml:space="preserve"> </w:t>
      </w:r>
      <w:r>
        <w:rPr>
          <w:rFonts w:hint="eastAsia" w:ascii="仿宋" w:hAnsi="仿宋" w:eastAsia="仿宋" w:cs="仿宋"/>
          <w:color w:val="auto"/>
          <w:sz w:val="24"/>
          <w:szCs w:val="24"/>
          <w:highlight w:val="none"/>
        </w:rPr>
        <w:t xml:space="preserve">                                                           </w:t>
      </w:r>
    </w:p>
    <w:p>
      <w:pPr>
        <w:pStyle w:val="13"/>
        <w:keepNext w:val="0"/>
        <w:keepLines w:val="0"/>
        <w:pageBreakBefore w:val="0"/>
        <w:kinsoku/>
        <w:overflowPunct/>
        <w:topLinePunct w:val="0"/>
        <w:bidi w:val="0"/>
        <w:adjustRightInd/>
        <w:snapToGrid/>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联系方式：</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rPr>
        <w:t xml:space="preserve">                                                     </w:t>
      </w:r>
    </w:p>
    <w:p>
      <w:pPr>
        <w:pStyle w:val="13"/>
        <w:keepNext w:val="0"/>
        <w:keepLines w:val="0"/>
        <w:pageBreakBefore w:val="0"/>
        <w:kinsoku/>
        <w:overflowPunct/>
        <w:topLinePunct w:val="0"/>
        <w:bidi w:val="0"/>
        <w:adjustRightInd/>
        <w:snapToGrid/>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供应商（以下称“乙方”）：</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none"/>
        </w:rPr>
        <w:t xml:space="preserve">  </w:t>
      </w:r>
      <w:r>
        <w:rPr>
          <w:rFonts w:hint="eastAsia" w:ascii="仿宋" w:hAnsi="仿宋" w:eastAsia="仿宋" w:cs="仿宋"/>
          <w:color w:val="auto"/>
          <w:sz w:val="24"/>
          <w:szCs w:val="24"/>
          <w:highlight w:val="none"/>
        </w:rPr>
        <w:t xml:space="preserve">                                       </w:t>
      </w:r>
    </w:p>
    <w:p>
      <w:pPr>
        <w:pStyle w:val="13"/>
        <w:keepNext w:val="0"/>
        <w:keepLines w:val="0"/>
        <w:pageBreakBefore w:val="0"/>
        <w:kinsoku/>
        <w:overflowPunct/>
        <w:topLinePunct w:val="0"/>
        <w:bidi w:val="0"/>
        <w:adjustRightInd/>
        <w:snapToGrid/>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地址：</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 xml:space="preserve">                                                          </w:t>
      </w:r>
    </w:p>
    <w:p>
      <w:pPr>
        <w:pStyle w:val="13"/>
        <w:keepNext w:val="0"/>
        <w:keepLines w:val="0"/>
        <w:pageBreakBefore w:val="0"/>
        <w:kinsoku/>
        <w:overflowPunct/>
        <w:topLinePunct w:val="0"/>
        <w:bidi w:val="0"/>
        <w:adjustRightInd/>
        <w:snapToGrid/>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联系方式：</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 xml:space="preserve">                                                  </w:t>
      </w:r>
    </w:p>
    <w:p>
      <w:pPr>
        <w:pStyle w:val="13"/>
        <w:keepNext w:val="0"/>
        <w:keepLines w:val="0"/>
        <w:pageBreakBefore w:val="0"/>
        <w:kinsoku/>
        <w:overflowPunct/>
        <w:topLinePunct w:val="0"/>
        <w:bidi w:val="0"/>
        <w:adjustRightInd/>
        <w:snapToGrid/>
        <w:spacing w:line="360" w:lineRule="auto"/>
        <w:ind w:firstLine="468" w:firstLineChars="195"/>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根据《中华人民共和国政府采购法》及实施条例、《中华人民共和国民法典》和甲方采购项目</w:t>
      </w:r>
      <w:r>
        <w:rPr>
          <w:rFonts w:hint="eastAsia" w:ascii="仿宋" w:hAnsi="仿宋" w:eastAsia="仿宋" w:cs="仿宋"/>
          <w:color w:val="auto"/>
          <w:sz w:val="24"/>
          <w:szCs w:val="24"/>
          <w:highlight w:val="none"/>
          <w:u w:val="single"/>
        </w:rPr>
        <w:t>（采购项目编号：</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w:t>
      </w:r>
      <w:r>
        <w:rPr>
          <w:rFonts w:hint="eastAsia" w:ascii="仿宋" w:hAnsi="仿宋" w:eastAsia="仿宋" w:cs="仿宋"/>
          <w:color w:val="auto"/>
          <w:sz w:val="24"/>
          <w:szCs w:val="24"/>
          <w:highlight w:val="none"/>
        </w:rPr>
        <w:t>的</w:t>
      </w:r>
      <w:r>
        <w:rPr>
          <w:rFonts w:hint="eastAsia" w:ascii="仿宋" w:hAnsi="仿宋" w:eastAsia="仿宋" w:cs="仿宋"/>
          <w:color w:val="auto"/>
          <w:sz w:val="24"/>
          <w:szCs w:val="24"/>
          <w:highlight w:val="none"/>
          <w:lang w:val="en-US" w:eastAsia="zh-CN"/>
        </w:rPr>
        <w:t>竞争性</w:t>
      </w:r>
      <w:r>
        <w:rPr>
          <w:rFonts w:hint="eastAsia" w:ascii="仿宋" w:hAnsi="仿宋" w:eastAsia="仿宋" w:cs="仿宋"/>
          <w:color w:val="auto"/>
          <w:sz w:val="24"/>
          <w:szCs w:val="24"/>
          <w:highlight w:val="none"/>
        </w:rPr>
        <w:t>磋商文件、</w:t>
      </w:r>
      <w:r>
        <w:rPr>
          <w:rFonts w:hint="eastAsia" w:ascii="仿宋" w:hAnsi="仿宋" w:eastAsia="仿宋" w:cs="仿宋"/>
          <w:color w:val="auto"/>
          <w:sz w:val="24"/>
          <w:szCs w:val="24"/>
          <w:highlight w:val="none"/>
          <w:lang w:val="en-US" w:eastAsia="zh-CN"/>
        </w:rPr>
        <w:t>乙方递交的</w:t>
      </w:r>
      <w:r>
        <w:rPr>
          <w:rFonts w:hint="eastAsia" w:ascii="仿宋" w:hAnsi="仿宋" w:eastAsia="仿宋" w:cs="仿宋"/>
          <w:color w:val="auto"/>
          <w:sz w:val="24"/>
          <w:szCs w:val="24"/>
          <w:highlight w:val="none"/>
        </w:rPr>
        <w:t>响应文件等有关规定，为确保甲方采购项目的顺利实施，甲、乙双方在平等自愿原则下签订本合同，并共同遵守如下条款：</w:t>
      </w:r>
    </w:p>
    <w:p>
      <w:pPr>
        <w:keepNext w:val="0"/>
        <w:keepLines w:val="0"/>
        <w:pageBreakBefore w:val="0"/>
        <w:numPr>
          <w:ilvl w:val="0"/>
          <w:numId w:val="1"/>
        </w:numPr>
        <w:tabs>
          <w:tab w:val="left" w:pos="1379"/>
        </w:tabs>
        <w:kinsoku/>
        <w:overflowPunct/>
        <w:topLinePunct w:val="0"/>
        <w:bidi w:val="0"/>
        <w:adjustRightInd/>
        <w:snapToGrid/>
        <w:spacing w:line="360" w:lineRule="auto"/>
        <w:ind w:firstLine="482" w:firstLineChars="200"/>
        <w:outlineLvl w:val="1"/>
        <w:rPr>
          <w:rFonts w:hint="eastAsia" w:ascii="仿宋" w:hAnsi="仿宋" w:eastAsia="仿宋" w:cs="仿宋"/>
          <w:b/>
          <w:bCs w:val="0"/>
          <w:color w:val="auto"/>
          <w:sz w:val="24"/>
          <w:szCs w:val="24"/>
          <w:highlight w:val="none"/>
          <w:lang w:val="en-US" w:eastAsia="zh-CN"/>
        </w:rPr>
      </w:pPr>
      <w:bookmarkStart w:id="0" w:name="_Toc8233"/>
      <w:bookmarkStart w:id="1" w:name="_Toc562"/>
      <w:r>
        <w:rPr>
          <w:rFonts w:hint="eastAsia" w:ascii="仿宋" w:hAnsi="仿宋" w:eastAsia="仿宋" w:cs="仿宋"/>
          <w:b/>
          <w:bCs w:val="0"/>
          <w:color w:val="auto"/>
          <w:sz w:val="24"/>
          <w:szCs w:val="24"/>
          <w:highlight w:val="none"/>
          <w:lang w:val="en-US" w:eastAsia="zh-CN"/>
        </w:rPr>
        <w:t>合同采购内容</w:t>
      </w:r>
      <w:bookmarkEnd w:id="0"/>
      <w:bookmarkEnd w:id="1"/>
    </w:p>
    <w:tbl>
      <w:tblPr>
        <w:tblStyle w:val="9"/>
        <w:tblW w:w="9888" w:type="dxa"/>
        <w:tblInd w:w="-154"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
      <w:tblGrid>
        <w:gridCol w:w="887"/>
        <w:gridCol w:w="1320"/>
        <w:gridCol w:w="1920"/>
        <w:gridCol w:w="771"/>
        <w:gridCol w:w="885"/>
        <w:gridCol w:w="1604"/>
        <w:gridCol w:w="1258"/>
        <w:gridCol w:w="124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728" w:hRule="atLeast"/>
          <w:tblHeader/>
        </w:trPr>
        <w:tc>
          <w:tcPr>
            <w:tcW w:w="887" w:type="dxa"/>
            <w:tcBorders>
              <w:top w:val="single" w:color="333333" w:sz="4" w:space="0"/>
              <w:left w:val="single" w:color="333333" w:sz="4" w:space="0"/>
              <w:bottom w:val="single" w:color="333333" w:sz="4" w:space="0"/>
              <w:right w:val="single" w:color="333333" w:sz="4" w:space="0"/>
            </w:tcBorders>
            <w:shd w:val="clear" w:color="auto" w:fill="auto"/>
            <w:tcMar>
              <w:top w:w="50" w:type="dxa"/>
              <w:left w:w="80" w:type="dxa"/>
              <w:bottom w:w="50" w:type="dxa"/>
              <w:right w:w="8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Autospacing="0" w:afterAutospacing="0" w:line="360" w:lineRule="auto"/>
              <w:ind w:left="0" w:right="0"/>
              <w:jc w:val="center"/>
              <w:textAlignment w:val="center"/>
              <w:rPr>
                <w:rFonts w:hint="eastAsia" w:ascii="仿宋" w:hAnsi="仿宋" w:eastAsia="仿宋" w:cs="仿宋"/>
                <w:b/>
                <w:bCs/>
                <w:color w:val="auto"/>
                <w:kern w:val="0"/>
                <w:sz w:val="24"/>
                <w:szCs w:val="24"/>
                <w:highlight w:val="none"/>
                <w:lang w:val="en-US" w:eastAsia="zh-CN" w:bidi="ar"/>
              </w:rPr>
            </w:pPr>
            <w:r>
              <w:rPr>
                <w:rFonts w:hint="eastAsia" w:ascii="仿宋" w:hAnsi="仿宋" w:eastAsia="仿宋" w:cs="仿宋"/>
                <w:b/>
                <w:bCs/>
                <w:color w:val="auto"/>
                <w:kern w:val="0"/>
                <w:sz w:val="24"/>
                <w:szCs w:val="24"/>
                <w:highlight w:val="none"/>
                <w:lang w:val="en-US" w:eastAsia="zh-CN" w:bidi="ar"/>
              </w:rPr>
              <w:t>品目</w:t>
            </w:r>
          </w:p>
          <w:p>
            <w:pPr>
              <w:keepNext w:val="0"/>
              <w:keepLines w:val="0"/>
              <w:pageBreakBefore w:val="0"/>
              <w:widowControl/>
              <w:suppressLineNumbers w:val="0"/>
              <w:kinsoku/>
              <w:wordWrap w:val="0"/>
              <w:overflowPunct/>
              <w:topLinePunct w:val="0"/>
              <w:autoSpaceDE/>
              <w:autoSpaceDN/>
              <w:bidi w:val="0"/>
              <w:adjustRightInd/>
              <w:snapToGrid/>
              <w:spacing w:beforeAutospacing="0" w:afterAutospacing="0" w:line="360" w:lineRule="auto"/>
              <w:ind w:left="0" w:right="0"/>
              <w:jc w:val="center"/>
              <w:textAlignment w:val="center"/>
              <w:rPr>
                <w:rFonts w:hint="eastAsia" w:ascii="仿宋" w:hAnsi="仿宋" w:eastAsia="仿宋" w:cs="仿宋"/>
                <w:b/>
                <w:bCs/>
                <w:color w:val="auto"/>
                <w:sz w:val="24"/>
                <w:szCs w:val="24"/>
                <w:highlight w:val="none"/>
                <w:lang w:val="en-US"/>
              </w:rPr>
            </w:pPr>
            <w:r>
              <w:rPr>
                <w:rFonts w:hint="eastAsia" w:ascii="仿宋" w:hAnsi="仿宋" w:eastAsia="仿宋" w:cs="仿宋"/>
                <w:b/>
                <w:bCs/>
                <w:color w:val="auto"/>
                <w:kern w:val="0"/>
                <w:sz w:val="24"/>
                <w:szCs w:val="24"/>
                <w:highlight w:val="none"/>
                <w:lang w:val="en-US" w:eastAsia="zh-CN" w:bidi="ar"/>
              </w:rPr>
              <w:t>编码</w:t>
            </w:r>
          </w:p>
        </w:tc>
        <w:tc>
          <w:tcPr>
            <w:tcW w:w="1320" w:type="dxa"/>
            <w:tcBorders>
              <w:top w:val="single" w:color="333333" w:sz="4" w:space="0"/>
              <w:left w:val="single" w:color="333333" w:sz="4" w:space="0"/>
              <w:bottom w:val="single" w:color="333333" w:sz="4" w:space="0"/>
              <w:right w:val="single" w:color="333333" w:sz="4" w:space="0"/>
            </w:tcBorders>
            <w:shd w:val="clear" w:color="auto" w:fill="auto"/>
            <w:tcMar>
              <w:top w:w="50" w:type="dxa"/>
              <w:left w:w="80" w:type="dxa"/>
              <w:bottom w:w="50" w:type="dxa"/>
              <w:right w:w="8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Autospacing="0" w:afterAutospacing="0" w:line="360" w:lineRule="auto"/>
              <w:ind w:left="0" w:right="0"/>
              <w:jc w:val="center"/>
              <w:textAlignment w:val="center"/>
              <w:rPr>
                <w:rFonts w:hint="eastAsia" w:ascii="仿宋" w:hAnsi="仿宋" w:eastAsia="仿宋" w:cs="仿宋"/>
                <w:b/>
                <w:bCs/>
                <w:color w:val="auto"/>
                <w:kern w:val="0"/>
                <w:sz w:val="24"/>
                <w:szCs w:val="24"/>
                <w:highlight w:val="none"/>
                <w:lang w:val="en-US" w:eastAsia="zh-CN" w:bidi="ar"/>
              </w:rPr>
            </w:pPr>
            <w:r>
              <w:rPr>
                <w:rFonts w:hint="eastAsia" w:ascii="仿宋" w:hAnsi="仿宋" w:eastAsia="仿宋" w:cs="仿宋"/>
                <w:b/>
                <w:bCs/>
                <w:color w:val="auto"/>
                <w:kern w:val="0"/>
                <w:sz w:val="24"/>
                <w:szCs w:val="24"/>
                <w:highlight w:val="none"/>
                <w:lang w:val="en-US" w:eastAsia="zh-CN" w:bidi="ar"/>
              </w:rPr>
              <w:t>品目</w:t>
            </w:r>
          </w:p>
          <w:p>
            <w:pPr>
              <w:keepNext w:val="0"/>
              <w:keepLines w:val="0"/>
              <w:pageBreakBefore w:val="0"/>
              <w:widowControl/>
              <w:suppressLineNumbers w:val="0"/>
              <w:kinsoku/>
              <w:wordWrap w:val="0"/>
              <w:overflowPunct/>
              <w:topLinePunct w:val="0"/>
              <w:autoSpaceDE/>
              <w:autoSpaceDN/>
              <w:bidi w:val="0"/>
              <w:adjustRightInd/>
              <w:snapToGrid/>
              <w:spacing w:beforeAutospacing="0" w:afterAutospacing="0" w:line="360" w:lineRule="auto"/>
              <w:ind w:left="0" w:right="0"/>
              <w:jc w:val="center"/>
              <w:textAlignment w:val="center"/>
              <w:rPr>
                <w:rFonts w:hint="eastAsia" w:ascii="仿宋" w:hAnsi="仿宋" w:eastAsia="仿宋" w:cs="仿宋"/>
                <w:b/>
                <w:bCs/>
                <w:color w:val="auto"/>
                <w:sz w:val="24"/>
                <w:szCs w:val="24"/>
                <w:highlight w:val="none"/>
              </w:rPr>
            </w:pPr>
            <w:r>
              <w:rPr>
                <w:rFonts w:hint="eastAsia" w:ascii="仿宋" w:hAnsi="仿宋" w:eastAsia="仿宋" w:cs="仿宋"/>
                <w:b/>
                <w:bCs/>
                <w:color w:val="auto"/>
                <w:kern w:val="0"/>
                <w:sz w:val="24"/>
                <w:szCs w:val="24"/>
                <w:highlight w:val="none"/>
                <w:lang w:val="en-US" w:eastAsia="zh-CN" w:bidi="ar"/>
              </w:rPr>
              <w:t>名称</w:t>
            </w:r>
          </w:p>
        </w:tc>
        <w:tc>
          <w:tcPr>
            <w:tcW w:w="1920" w:type="dxa"/>
            <w:tcBorders>
              <w:top w:val="single" w:color="333333" w:sz="4" w:space="0"/>
              <w:left w:val="single" w:color="333333" w:sz="4" w:space="0"/>
              <w:bottom w:val="single" w:color="333333" w:sz="4" w:space="0"/>
              <w:right w:val="single" w:color="333333" w:sz="4" w:space="0"/>
            </w:tcBorders>
            <w:shd w:val="clear" w:color="auto" w:fill="auto"/>
            <w:tcMar>
              <w:top w:w="50" w:type="dxa"/>
              <w:left w:w="80" w:type="dxa"/>
              <w:bottom w:w="50" w:type="dxa"/>
              <w:right w:w="8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Autospacing="0" w:afterAutospacing="0" w:line="360" w:lineRule="auto"/>
              <w:ind w:left="0" w:right="0"/>
              <w:jc w:val="center"/>
              <w:textAlignment w:val="center"/>
              <w:rPr>
                <w:rFonts w:hint="eastAsia" w:ascii="仿宋" w:hAnsi="仿宋" w:eastAsia="仿宋" w:cs="仿宋"/>
                <w:b/>
                <w:bCs/>
                <w:color w:val="auto"/>
                <w:kern w:val="0"/>
                <w:sz w:val="24"/>
                <w:szCs w:val="24"/>
                <w:highlight w:val="none"/>
                <w:lang w:val="en-US" w:eastAsia="zh-CN" w:bidi="ar"/>
              </w:rPr>
            </w:pPr>
            <w:r>
              <w:rPr>
                <w:rFonts w:hint="eastAsia" w:ascii="仿宋" w:hAnsi="仿宋" w:eastAsia="仿宋" w:cs="仿宋"/>
                <w:b/>
                <w:bCs/>
                <w:color w:val="auto"/>
                <w:kern w:val="0"/>
                <w:sz w:val="24"/>
                <w:szCs w:val="24"/>
                <w:highlight w:val="none"/>
                <w:lang w:val="en-US" w:eastAsia="zh-CN" w:bidi="ar"/>
              </w:rPr>
              <w:t>采购</w:t>
            </w:r>
          </w:p>
          <w:p>
            <w:pPr>
              <w:keepNext w:val="0"/>
              <w:keepLines w:val="0"/>
              <w:pageBreakBefore w:val="0"/>
              <w:widowControl/>
              <w:suppressLineNumbers w:val="0"/>
              <w:kinsoku/>
              <w:wordWrap w:val="0"/>
              <w:overflowPunct/>
              <w:topLinePunct w:val="0"/>
              <w:autoSpaceDE/>
              <w:autoSpaceDN/>
              <w:bidi w:val="0"/>
              <w:adjustRightInd/>
              <w:snapToGrid/>
              <w:spacing w:beforeAutospacing="0" w:afterAutospacing="0" w:line="360" w:lineRule="auto"/>
              <w:ind w:left="0" w:right="0"/>
              <w:jc w:val="center"/>
              <w:textAlignment w:val="center"/>
              <w:rPr>
                <w:rFonts w:hint="eastAsia" w:ascii="仿宋" w:hAnsi="仿宋" w:eastAsia="仿宋" w:cs="仿宋"/>
                <w:b/>
                <w:bCs/>
                <w:color w:val="auto"/>
                <w:sz w:val="24"/>
                <w:szCs w:val="24"/>
                <w:highlight w:val="none"/>
              </w:rPr>
            </w:pPr>
            <w:r>
              <w:rPr>
                <w:rFonts w:hint="eastAsia" w:ascii="仿宋" w:hAnsi="仿宋" w:eastAsia="仿宋" w:cs="仿宋"/>
                <w:b/>
                <w:bCs/>
                <w:color w:val="auto"/>
                <w:kern w:val="0"/>
                <w:sz w:val="24"/>
                <w:szCs w:val="24"/>
                <w:highlight w:val="none"/>
                <w:lang w:val="en-US" w:eastAsia="zh-CN" w:bidi="ar"/>
              </w:rPr>
              <w:t>标的</w:t>
            </w:r>
          </w:p>
        </w:tc>
        <w:tc>
          <w:tcPr>
            <w:tcW w:w="771" w:type="dxa"/>
            <w:tcBorders>
              <w:top w:val="single" w:color="333333" w:sz="4" w:space="0"/>
              <w:left w:val="single" w:color="333333" w:sz="4" w:space="0"/>
              <w:bottom w:val="single" w:color="333333" w:sz="4" w:space="0"/>
              <w:right w:val="single" w:color="333333" w:sz="4" w:space="0"/>
            </w:tcBorders>
            <w:shd w:val="clear" w:color="auto" w:fill="auto"/>
            <w:tcMar>
              <w:top w:w="50" w:type="dxa"/>
              <w:left w:w="80" w:type="dxa"/>
              <w:bottom w:w="50" w:type="dxa"/>
              <w:right w:w="8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Autospacing="0" w:afterAutospacing="0" w:line="360" w:lineRule="auto"/>
              <w:ind w:left="0" w:right="0"/>
              <w:jc w:val="center"/>
              <w:textAlignment w:val="center"/>
              <w:rPr>
                <w:rFonts w:hint="eastAsia" w:ascii="仿宋" w:hAnsi="仿宋" w:eastAsia="仿宋" w:cs="仿宋"/>
                <w:b/>
                <w:bCs/>
                <w:color w:val="auto"/>
                <w:sz w:val="24"/>
                <w:szCs w:val="24"/>
                <w:highlight w:val="none"/>
              </w:rPr>
            </w:pPr>
            <w:r>
              <w:rPr>
                <w:rFonts w:hint="eastAsia" w:ascii="仿宋" w:hAnsi="仿宋" w:eastAsia="仿宋" w:cs="仿宋"/>
                <w:b/>
                <w:bCs/>
                <w:color w:val="auto"/>
                <w:kern w:val="0"/>
                <w:sz w:val="24"/>
                <w:szCs w:val="24"/>
                <w:highlight w:val="none"/>
                <w:lang w:val="en-US" w:eastAsia="zh-CN" w:bidi="ar"/>
              </w:rPr>
              <w:t>采购数量</w:t>
            </w:r>
          </w:p>
        </w:tc>
        <w:tc>
          <w:tcPr>
            <w:tcW w:w="885" w:type="dxa"/>
            <w:tcBorders>
              <w:top w:val="single" w:color="333333" w:sz="4" w:space="0"/>
              <w:left w:val="single" w:color="333333" w:sz="4" w:space="0"/>
              <w:bottom w:val="single" w:color="333333" w:sz="4" w:space="0"/>
              <w:right w:val="single" w:color="333333" w:sz="4" w:space="0"/>
            </w:tcBorders>
            <w:shd w:val="clear" w:color="auto" w:fill="auto"/>
            <w:tcMar>
              <w:top w:w="50" w:type="dxa"/>
              <w:left w:w="80" w:type="dxa"/>
              <w:bottom w:w="50" w:type="dxa"/>
              <w:right w:w="8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Autospacing="0" w:afterAutospacing="0" w:line="360" w:lineRule="auto"/>
              <w:ind w:left="0" w:right="0"/>
              <w:jc w:val="center"/>
              <w:textAlignment w:val="center"/>
              <w:rPr>
                <w:rFonts w:hint="eastAsia" w:ascii="仿宋" w:hAnsi="仿宋" w:eastAsia="仿宋" w:cs="仿宋"/>
                <w:b/>
                <w:bCs/>
                <w:color w:val="auto"/>
                <w:kern w:val="0"/>
                <w:sz w:val="24"/>
                <w:szCs w:val="24"/>
                <w:highlight w:val="none"/>
                <w:lang w:val="en-US" w:eastAsia="zh-CN" w:bidi="ar"/>
              </w:rPr>
            </w:pPr>
            <w:r>
              <w:rPr>
                <w:rFonts w:hint="eastAsia" w:ascii="仿宋" w:hAnsi="仿宋" w:eastAsia="仿宋" w:cs="仿宋"/>
                <w:b/>
                <w:bCs/>
                <w:color w:val="auto"/>
                <w:kern w:val="0"/>
                <w:sz w:val="24"/>
                <w:szCs w:val="24"/>
                <w:highlight w:val="none"/>
                <w:lang w:val="en-US" w:eastAsia="zh-CN" w:bidi="ar"/>
              </w:rPr>
              <w:t>计量</w:t>
            </w:r>
          </w:p>
          <w:p>
            <w:pPr>
              <w:keepNext w:val="0"/>
              <w:keepLines w:val="0"/>
              <w:pageBreakBefore w:val="0"/>
              <w:widowControl/>
              <w:suppressLineNumbers w:val="0"/>
              <w:kinsoku/>
              <w:wordWrap w:val="0"/>
              <w:overflowPunct/>
              <w:topLinePunct w:val="0"/>
              <w:autoSpaceDE/>
              <w:autoSpaceDN/>
              <w:bidi w:val="0"/>
              <w:adjustRightInd/>
              <w:snapToGrid/>
              <w:spacing w:beforeAutospacing="0" w:afterAutospacing="0" w:line="360" w:lineRule="auto"/>
              <w:ind w:left="0" w:right="0"/>
              <w:jc w:val="center"/>
              <w:textAlignment w:val="center"/>
              <w:rPr>
                <w:rFonts w:hint="eastAsia" w:ascii="仿宋" w:hAnsi="仿宋" w:eastAsia="仿宋" w:cs="仿宋"/>
                <w:b/>
                <w:bCs/>
                <w:color w:val="auto"/>
                <w:sz w:val="24"/>
                <w:szCs w:val="24"/>
                <w:highlight w:val="none"/>
              </w:rPr>
            </w:pPr>
            <w:r>
              <w:rPr>
                <w:rFonts w:hint="eastAsia" w:ascii="仿宋" w:hAnsi="仿宋" w:eastAsia="仿宋" w:cs="仿宋"/>
                <w:b/>
                <w:bCs/>
                <w:color w:val="auto"/>
                <w:kern w:val="0"/>
                <w:sz w:val="24"/>
                <w:szCs w:val="24"/>
                <w:highlight w:val="none"/>
                <w:lang w:val="en-US" w:eastAsia="zh-CN" w:bidi="ar"/>
              </w:rPr>
              <w:t>单位</w:t>
            </w:r>
          </w:p>
        </w:tc>
        <w:tc>
          <w:tcPr>
            <w:tcW w:w="1604" w:type="dxa"/>
            <w:tcBorders>
              <w:top w:val="single" w:color="333333" w:sz="4" w:space="0"/>
              <w:left w:val="single" w:color="333333" w:sz="4" w:space="0"/>
              <w:bottom w:val="single" w:color="333333" w:sz="4" w:space="0"/>
              <w:right w:val="single" w:color="333333" w:sz="4" w:space="0"/>
            </w:tcBorders>
            <w:shd w:val="clear" w:color="auto" w:fill="auto"/>
            <w:tcMar>
              <w:top w:w="50" w:type="dxa"/>
              <w:left w:w="80" w:type="dxa"/>
              <w:bottom w:w="50" w:type="dxa"/>
              <w:right w:w="8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Autospacing="0" w:afterAutospacing="0" w:line="360" w:lineRule="auto"/>
              <w:ind w:left="0" w:right="0"/>
              <w:jc w:val="center"/>
              <w:textAlignment w:val="center"/>
              <w:rPr>
                <w:rFonts w:hint="eastAsia" w:ascii="仿宋" w:hAnsi="仿宋" w:eastAsia="仿宋" w:cs="仿宋"/>
                <w:b/>
                <w:bCs/>
                <w:color w:val="auto"/>
                <w:sz w:val="24"/>
                <w:szCs w:val="24"/>
                <w:highlight w:val="none"/>
                <w:lang w:val="en-US"/>
              </w:rPr>
            </w:pPr>
            <w:r>
              <w:rPr>
                <w:rFonts w:hint="eastAsia" w:ascii="仿宋" w:hAnsi="仿宋" w:eastAsia="仿宋" w:cs="仿宋"/>
                <w:b/>
                <w:bCs/>
                <w:color w:val="auto"/>
                <w:kern w:val="0"/>
                <w:sz w:val="24"/>
                <w:szCs w:val="24"/>
                <w:highlight w:val="none"/>
                <w:lang w:val="en-US" w:eastAsia="zh-CN" w:bidi="ar"/>
              </w:rPr>
              <w:t>服务范围</w:t>
            </w:r>
          </w:p>
        </w:tc>
        <w:tc>
          <w:tcPr>
            <w:tcW w:w="1258" w:type="dxa"/>
            <w:tcBorders>
              <w:top w:val="single" w:color="333333" w:sz="4" w:space="0"/>
              <w:left w:val="single" w:color="333333" w:sz="4" w:space="0"/>
              <w:bottom w:val="single" w:color="333333" w:sz="4" w:space="0"/>
              <w:right w:val="single" w:color="333333" w:sz="4" w:space="0"/>
            </w:tcBorders>
            <w:shd w:val="clear" w:color="auto" w:fill="auto"/>
            <w:tcMar>
              <w:top w:w="50" w:type="dxa"/>
              <w:left w:w="80" w:type="dxa"/>
              <w:bottom w:w="50" w:type="dxa"/>
              <w:right w:w="8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Autospacing="0" w:afterAutospacing="0" w:line="360" w:lineRule="auto"/>
              <w:ind w:left="0" w:right="0"/>
              <w:jc w:val="center"/>
              <w:textAlignment w:val="center"/>
              <w:rPr>
                <w:rFonts w:hint="eastAsia" w:ascii="仿宋" w:hAnsi="仿宋" w:eastAsia="仿宋" w:cs="仿宋"/>
                <w:b/>
                <w:bCs/>
                <w:color w:val="auto"/>
                <w:kern w:val="0"/>
                <w:sz w:val="24"/>
                <w:szCs w:val="24"/>
                <w:highlight w:val="none"/>
                <w:lang w:val="en-US" w:eastAsia="zh-CN" w:bidi="ar"/>
              </w:rPr>
            </w:pPr>
            <w:r>
              <w:rPr>
                <w:rFonts w:hint="eastAsia" w:ascii="仿宋" w:hAnsi="仿宋" w:eastAsia="仿宋" w:cs="仿宋"/>
                <w:b/>
                <w:bCs/>
                <w:color w:val="auto"/>
                <w:kern w:val="0"/>
                <w:sz w:val="24"/>
                <w:szCs w:val="24"/>
                <w:highlight w:val="none"/>
                <w:lang w:val="en-US" w:eastAsia="zh-CN" w:bidi="ar"/>
              </w:rPr>
              <w:t>单价</w:t>
            </w:r>
          </w:p>
          <w:p>
            <w:pPr>
              <w:keepNext w:val="0"/>
              <w:keepLines w:val="0"/>
              <w:pageBreakBefore w:val="0"/>
              <w:widowControl/>
              <w:suppressLineNumbers w:val="0"/>
              <w:kinsoku/>
              <w:wordWrap w:val="0"/>
              <w:overflowPunct/>
              <w:topLinePunct w:val="0"/>
              <w:autoSpaceDE/>
              <w:autoSpaceDN/>
              <w:bidi w:val="0"/>
              <w:adjustRightInd/>
              <w:snapToGrid/>
              <w:spacing w:beforeAutospacing="0" w:afterAutospacing="0" w:line="360" w:lineRule="auto"/>
              <w:ind w:left="0" w:right="0"/>
              <w:jc w:val="center"/>
              <w:textAlignment w:val="center"/>
              <w:rPr>
                <w:rFonts w:hint="eastAsia" w:ascii="仿宋" w:hAnsi="仿宋" w:eastAsia="仿宋" w:cs="仿宋"/>
                <w:b/>
                <w:bCs/>
                <w:color w:val="auto"/>
                <w:sz w:val="24"/>
                <w:szCs w:val="24"/>
                <w:highlight w:val="none"/>
              </w:rPr>
            </w:pPr>
            <w:r>
              <w:rPr>
                <w:rFonts w:hint="eastAsia" w:ascii="仿宋" w:hAnsi="仿宋" w:eastAsia="仿宋" w:cs="仿宋"/>
                <w:b/>
                <w:bCs/>
                <w:color w:val="auto"/>
                <w:kern w:val="0"/>
                <w:sz w:val="24"/>
                <w:szCs w:val="24"/>
                <w:highlight w:val="none"/>
                <w:lang w:val="en-US" w:eastAsia="zh-CN" w:bidi="ar"/>
              </w:rPr>
              <w:t>(元)</w:t>
            </w:r>
          </w:p>
        </w:tc>
        <w:tc>
          <w:tcPr>
            <w:tcW w:w="1243" w:type="dxa"/>
            <w:tcBorders>
              <w:top w:val="single" w:color="333333" w:sz="4" w:space="0"/>
              <w:left w:val="single" w:color="333333" w:sz="4" w:space="0"/>
              <w:bottom w:val="single" w:color="333333" w:sz="4" w:space="0"/>
              <w:right w:val="single" w:color="333333" w:sz="4" w:space="0"/>
            </w:tcBorders>
            <w:shd w:val="clear" w:color="auto" w:fill="auto"/>
            <w:tcMar>
              <w:top w:w="50" w:type="dxa"/>
              <w:left w:w="80" w:type="dxa"/>
              <w:bottom w:w="50" w:type="dxa"/>
              <w:right w:w="8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Autospacing="0" w:afterAutospacing="0" w:line="360" w:lineRule="auto"/>
              <w:ind w:left="0" w:right="0"/>
              <w:jc w:val="center"/>
              <w:textAlignment w:val="center"/>
              <w:rPr>
                <w:rFonts w:hint="eastAsia" w:ascii="仿宋" w:hAnsi="仿宋" w:eastAsia="仿宋" w:cs="仿宋"/>
                <w:b/>
                <w:bCs/>
                <w:color w:val="auto"/>
                <w:kern w:val="0"/>
                <w:sz w:val="24"/>
                <w:szCs w:val="24"/>
                <w:highlight w:val="none"/>
                <w:lang w:val="en-US" w:eastAsia="zh-CN" w:bidi="ar"/>
              </w:rPr>
            </w:pPr>
            <w:r>
              <w:rPr>
                <w:rFonts w:hint="eastAsia" w:ascii="仿宋" w:hAnsi="仿宋" w:eastAsia="仿宋" w:cs="仿宋"/>
                <w:b/>
                <w:bCs/>
                <w:color w:val="auto"/>
                <w:kern w:val="0"/>
                <w:sz w:val="24"/>
                <w:szCs w:val="24"/>
                <w:highlight w:val="none"/>
                <w:lang w:val="en-US" w:eastAsia="zh-CN" w:bidi="ar"/>
              </w:rPr>
              <w:t>总金额（元）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847" w:hRule="atLeast"/>
        </w:trPr>
        <w:tc>
          <w:tcPr>
            <w:tcW w:w="887" w:type="dxa"/>
            <w:tcBorders>
              <w:top w:val="single" w:color="333333" w:sz="4" w:space="0"/>
              <w:left w:val="single" w:color="333333" w:sz="4" w:space="0"/>
              <w:bottom w:val="single" w:color="333333" w:sz="4" w:space="0"/>
              <w:right w:val="single" w:color="333333" w:sz="4" w:space="0"/>
            </w:tcBorders>
            <w:shd w:val="clear" w:color="auto" w:fill="auto"/>
            <w:tcMar>
              <w:top w:w="50" w:type="dxa"/>
              <w:left w:w="80" w:type="dxa"/>
              <w:bottom w:w="50" w:type="dxa"/>
              <w:right w:w="8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Autospacing="0" w:afterAutospacing="0" w:line="360" w:lineRule="auto"/>
              <w:ind w:left="0" w:right="0"/>
              <w:jc w:val="center"/>
              <w:textAlignment w:val="center"/>
              <w:rPr>
                <w:rFonts w:hint="eastAsia" w:ascii="仿宋" w:hAnsi="仿宋" w:eastAsia="仿宋" w:cs="仿宋"/>
                <w:color w:val="auto"/>
                <w:sz w:val="24"/>
                <w:szCs w:val="24"/>
                <w:highlight w:val="none"/>
                <w:lang w:val="en-US"/>
              </w:rPr>
            </w:pPr>
            <w:r>
              <w:rPr>
                <w:rFonts w:hint="eastAsia" w:ascii="仿宋" w:hAnsi="仿宋" w:eastAsia="仿宋" w:cs="仿宋"/>
                <w:color w:val="auto"/>
                <w:kern w:val="0"/>
                <w:sz w:val="24"/>
                <w:szCs w:val="24"/>
                <w:highlight w:val="none"/>
                <w:lang w:val="en-US" w:eastAsia="zh-CN" w:bidi="ar"/>
              </w:rPr>
              <w:t>1-1</w:t>
            </w:r>
          </w:p>
        </w:tc>
        <w:tc>
          <w:tcPr>
            <w:tcW w:w="1320" w:type="dxa"/>
            <w:tcBorders>
              <w:top w:val="single" w:color="333333" w:sz="4" w:space="0"/>
              <w:left w:val="single" w:color="333333" w:sz="4" w:space="0"/>
              <w:bottom w:val="single" w:color="333333" w:sz="4" w:space="0"/>
              <w:right w:val="single" w:color="333333" w:sz="4" w:space="0"/>
            </w:tcBorders>
            <w:shd w:val="clear" w:color="auto" w:fill="auto"/>
            <w:tcMar>
              <w:top w:w="50" w:type="dxa"/>
              <w:left w:w="80" w:type="dxa"/>
              <w:bottom w:w="50" w:type="dxa"/>
              <w:right w:w="8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Autospacing="0" w:afterAutospacing="0" w:line="240" w:lineRule="auto"/>
              <w:ind w:left="0" w:leftChars="0" w:right="0" w:rightChars="0"/>
              <w:jc w:val="center"/>
              <w:textAlignment w:val="center"/>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教学成果推广</w:t>
            </w:r>
          </w:p>
          <w:p>
            <w:pPr>
              <w:keepNext w:val="0"/>
              <w:keepLines w:val="0"/>
              <w:pageBreakBefore w:val="0"/>
              <w:widowControl/>
              <w:suppressLineNumbers w:val="0"/>
              <w:kinsoku/>
              <w:wordWrap w:val="0"/>
              <w:overflowPunct/>
              <w:topLinePunct w:val="0"/>
              <w:autoSpaceDE/>
              <w:autoSpaceDN/>
              <w:bidi w:val="0"/>
              <w:adjustRightInd/>
              <w:snapToGrid/>
              <w:spacing w:beforeAutospacing="0" w:afterAutospacing="0" w:line="240" w:lineRule="auto"/>
              <w:ind w:left="0" w:leftChars="0" w:right="0" w:rightChars="0"/>
              <w:jc w:val="center"/>
              <w:textAlignment w:val="center"/>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应用服务</w:t>
            </w:r>
          </w:p>
        </w:tc>
        <w:tc>
          <w:tcPr>
            <w:tcW w:w="1920" w:type="dxa"/>
            <w:tcBorders>
              <w:top w:val="single" w:color="333333" w:sz="4" w:space="0"/>
              <w:left w:val="single" w:color="333333" w:sz="4" w:space="0"/>
              <w:bottom w:val="single" w:color="333333" w:sz="4" w:space="0"/>
              <w:right w:val="single" w:color="333333" w:sz="4" w:space="0"/>
            </w:tcBorders>
            <w:shd w:val="clear" w:color="auto" w:fill="auto"/>
            <w:tcMar>
              <w:top w:w="50" w:type="dxa"/>
              <w:left w:w="80" w:type="dxa"/>
              <w:bottom w:w="50" w:type="dxa"/>
              <w:right w:w="8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Autospacing="0" w:afterAutospacing="0" w:line="240" w:lineRule="auto"/>
              <w:ind w:left="0" w:leftChars="0" w:right="0" w:rightChars="0"/>
              <w:jc w:val="center"/>
              <w:textAlignment w:val="center"/>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eastAsia="zh-CN"/>
              </w:rPr>
              <w:t>西安市“大思政课”校外实践课程资源库建设等项目</w:t>
            </w:r>
          </w:p>
        </w:tc>
        <w:tc>
          <w:tcPr>
            <w:tcW w:w="771" w:type="dxa"/>
            <w:tcBorders>
              <w:top w:val="single" w:color="333333" w:sz="4" w:space="0"/>
              <w:left w:val="single" w:color="333333" w:sz="4" w:space="0"/>
              <w:bottom w:val="single" w:color="333333" w:sz="4" w:space="0"/>
              <w:right w:val="single" w:color="333333" w:sz="4" w:space="0"/>
            </w:tcBorders>
            <w:shd w:val="clear" w:color="auto" w:fill="auto"/>
            <w:tcMar>
              <w:top w:w="50" w:type="dxa"/>
              <w:left w:w="80" w:type="dxa"/>
              <w:bottom w:w="50" w:type="dxa"/>
              <w:right w:w="8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Autospacing="0" w:afterAutospacing="0" w:line="360" w:lineRule="auto"/>
              <w:ind w:left="0" w:right="0"/>
              <w:jc w:val="center"/>
              <w:textAlignment w:val="center"/>
              <w:rPr>
                <w:rFonts w:hint="eastAsia" w:ascii="仿宋" w:hAnsi="仿宋" w:eastAsia="仿宋" w:cs="仿宋"/>
                <w:color w:val="auto"/>
                <w:sz w:val="24"/>
                <w:szCs w:val="24"/>
                <w:highlight w:val="none"/>
              </w:rPr>
            </w:pPr>
            <w:r>
              <w:rPr>
                <w:rFonts w:hint="eastAsia" w:ascii="仿宋" w:hAnsi="仿宋" w:eastAsia="仿宋" w:cs="仿宋"/>
                <w:color w:val="auto"/>
                <w:kern w:val="0"/>
                <w:sz w:val="24"/>
                <w:szCs w:val="24"/>
                <w:highlight w:val="none"/>
                <w:lang w:val="en-US" w:eastAsia="zh-CN" w:bidi="ar"/>
              </w:rPr>
              <w:t>1</w:t>
            </w:r>
          </w:p>
        </w:tc>
        <w:tc>
          <w:tcPr>
            <w:tcW w:w="885" w:type="dxa"/>
            <w:tcBorders>
              <w:top w:val="single" w:color="333333" w:sz="4" w:space="0"/>
              <w:left w:val="single" w:color="333333" w:sz="4" w:space="0"/>
              <w:bottom w:val="single" w:color="333333" w:sz="4" w:space="0"/>
              <w:right w:val="single" w:color="333333" w:sz="4" w:space="0"/>
            </w:tcBorders>
            <w:shd w:val="clear" w:color="auto" w:fill="auto"/>
            <w:tcMar>
              <w:top w:w="50" w:type="dxa"/>
              <w:left w:w="80" w:type="dxa"/>
              <w:bottom w:w="50" w:type="dxa"/>
              <w:right w:w="8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Autospacing="0" w:afterAutospacing="0" w:line="360" w:lineRule="auto"/>
              <w:ind w:left="0" w:right="0"/>
              <w:jc w:val="center"/>
              <w:textAlignment w:val="center"/>
              <w:rPr>
                <w:rFonts w:hint="eastAsia" w:ascii="仿宋" w:hAnsi="仿宋" w:eastAsia="仿宋" w:cs="仿宋"/>
                <w:color w:val="auto"/>
                <w:sz w:val="24"/>
                <w:szCs w:val="24"/>
                <w:highlight w:val="none"/>
              </w:rPr>
            </w:pPr>
            <w:r>
              <w:rPr>
                <w:rFonts w:hint="eastAsia" w:ascii="仿宋" w:hAnsi="仿宋" w:eastAsia="仿宋" w:cs="仿宋"/>
                <w:color w:val="auto"/>
                <w:kern w:val="0"/>
                <w:sz w:val="24"/>
                <w:szCs w:val="24"/>
                <w:highlight w:val="none"/>
                <w:lang w:val="en-US" w:eastAsia="zh-CN" w:bidi="ar"/>
              </w:rPr>
              <w:t>项</w:t>
            </w:r>
          </w:p>
        </w:tc>
        <w:tc>
          <w:tcPr>
            <w:tcW w:w="1604" w:type="dxa"/>
            <w:tcBorders>
              <w:top w:val="single" w:color="333333" w:sz="4" w:space="0"/>
              <w:left w:val="single" w:color="333333" w:sz="4" w:space="0"/>
              <w:bottom w:val="single" w:color="333333" w:sz="4" w:space="0"/>
              <w:right w:val="single" w:color="333333" w:sz="4" w:space="0"/>
            </w:tcBorders>
            <w:shd w:val="clear" w:color="auto" w:fill="auto"/>
            <w:tcMar>
              <w:top w:w="50" w:type="dxa"/>
              <w:left w:w="80" w:type="dxa"/>
              <w:bottom w:w="50" w:type="dxa"/>
              <w:right w:w="8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Autospacing="0" w:afterAutospacing="0" w:line="240" w:lineRule="auto"/>
              <w:ind w:left="0" w:leftChars="0" w:right="0" w:rightChars="0"/>
              <w:jc w:val="center"/>
              <w:textAlignment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西安市“大思政课”校外实践课程资源库建设</w:t>
            </w:r>
          </w:p>
        </w:tc>
        <w:tc>
          <w:tcPr>
            <w:tcW w:w="1258" w:type="dxa"/>
            <w:tcBorders>
              <w:top w:val="single" w:color="333333" w:sz="4" w:space="0"/>
              <w:left w:val="single" w:color="333333" w:sz="4" w:space="0"/>
              <w:bottom w:val="single" w:color="333333" w:sz="4" w:space="0"/>
              <w:right w:val="single" w:color="333333" w:sz="4" w:space="0"/>
            </w:tcBorders>
            <w:shd w:val="clear" w:color="auto" w:fill="auto"/>
            <w:tcMar>
              <w:top w:w="50" w:type="dxa"/>
              <w:left w:w="80" w:type="dxa"/>
              <w:bottom w:w="50" w:type="dxa"/>
              <w:right w:w="80"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Autospacing="0" w:afterAutospacing="0" w:line="240" w:lineRule="auto"/>
              <w:ind w:left="0" w:leftChars="0" w:right="0" w:rightChars="0"/>
              <w:jc w:val="center"/>
              <w:textAlignment w:val="center"/>
              <w:rPr>
                <w:rFonts w:hint="eastAsia" w:ascii="仿宋" w:hAnsi="仿宋" w:eastAsia="仿宋" w:cs="仿宋"/>
                <w:color w:val="auto"/>
                <w:sz w:val="24"/>
                <w:szCs w:val="24"/>
                <w:highlight w:val="none"/>
                <w:lang w:val="en-US"/>
              </w:rPr>
            </w:pPr>
          </w:p>
        </w:tc>
        <w:tc>
          <w:tcPr>
            <w:tcW w:w="1243" w:type="dxa"/>
            <w:tcBorders>
              <w:top w:val="single" w:color="333333" w:sz="4" w:space="0"/>
              <w:left w:val="single" w:color="333333" w:sz="4" w:space="0"/>
              <w:bottom w:val="single" w:color="333333" w:sz="4" w:space="0"/>
              <w:right w:val="single" w:color="333333" w:sz="4" w:space="0"/>
            </w:tcBorders>
            <w:shd w:val="clear" w:color="auto" w:fill="auto"/>
            <w:tcMar>
              <w:top w:w="50" w:type="dxa"/>
              <w:left w:w="80" w:type="dxa"/>
              <w:bottom w:w="50" w:type="dxa"/>
              <w:right w:w="80"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right="0"/>
              <w:jc w:val="right"/>
              <w:textAlignment w:val="center"/>
              <w:rPr>
                <w:rFonts w:hint="eastAsia" w:ascii="仿宋" w:hAnsi="仿宋" w:eastAsia="仿宋" w:cs="仿宋"/>
                <w:i w:val="0"/>
                <w:iCs w:val="0"/>
                <w:caps w:val="0"/>
                <w:color w:val="0000FF"/>
                <w:spacing w:val="0"/>
                <w:sz w:val="24"/>
                <w:szCs w:val="24"/>
                <w:highlight w:val="none"/>
                <w:shd w:val="clear" w:fill="FFFFFF"/>
                <w:vertAlign w:val="baseline"/>
                <w:lang w:val="en-US" w:eastAsia="zh-CN"/>
              </w:rPr>
            </w:pPr>
          </w:p>
        </w:tc>
      </w:tr>
    </w:tbl>
    <w:p>
      <w:pPr>
        <w:pStyle w:val="11"/>
        <w:keepNext w:val="0"/>
        <w:keepLines w:val="0"/>
        <w:pageBreakBefore w:val="0"/>
        <w:numPr>
          <w:ilvl w:val="0"/>
          <w:numId w:val="0"/>
        </w:numPr>
        <w:kinsoku/>
        <w:overflowPunct/>
        <w:topLinePunct w:val="0"/>
        <w:bidi w:val="0"/>
        <w:adjustRightInd/>
        <w:snapToGrid/>
        <w:spacing w:line="360" w:lineRule="auto"/>
        <w:ind w:firstLine="480" w:firstLineChars="200"/>
        <w:rPr>
          <w:rFonts w:hint="eastAsia" w:ascii="仿宋" w:hAnsi="仿宋" w:eastAsia="仿宋" w:cs="仿宋"/>
          <w:color w:val="0000FF"/>
          <w:sz w:val="24"/>
          <w:szCs w:val="24"/>
          <w:highlight w:val="none"/>
          <w:u w:val="none"/>
          <w:lang w:val="en-US" w:eastAsia="zh-CN"/>
        </w:rPr>
      </w:pPr>
      <w:r>
        <w:rPr>
          <w:rFonts w:hint="eastAsia" w:ascii="仿宋" w:hAnsi="仿宋" w:eastAsia="仿宋" w:cs="仿宋"/>
          <w:sz w:val="24"/>
          <w:szCs w:val="24"/>
          <w:highlight w:val="none"/>
          <w:lang w:val="en-US" w:eastAsia="zh-CN"/>
        </w:rPr>
        <w:t>合计金额人民币（大写）：</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lang w:val="en-US" w:eastAsia="zh-CN"/>
        </w:rPr>
        <w:t xml:space="preserve"> </w:t>
      </w:r>
    </w:p>
    <w:p>
      <w:pPr>
        <w:keepNext w:val="0"/>
        <w:keepLines w:val="0"/>
        <w:pageBreakBefore w:val="0"/>
        <w:tabs>
          <w:tab w:val="left" w:pos="1379"/>
        </w:tabs>
        <w:kinsoku/>
        <w:overflowPunct/>
        <w:topLinePunct w:val="0"/>
        <w:bidi w:val="0"/>
        <w:adjustRightInd/>
        <w:snapToGrid/>
        <w:spacing w:line="360" w:lineRule="auto"/>
        <w:ind w:firstLine="482" w:firstLineChars="200"/>
        <w:outlineLvl w:val="1"/>
        <w:rPr>
          <w:rFonts w:hint="eastAsia" w:ascii="仿宋" w:hAnsi="仿宋" w:eastAsia="仿宋" w:cs="仿宋"/>
          <w:b/>
          <w:bCs w:val="0"/>
          <w:color w:val="auto"/>
          <w:sz w:val="24"/>
          <w:szCs w:val="24"/>
          <w:highlight w:val="none"/>
        </w:rPr>
      </w:pPr>
      <w:bookmarkStart w:id="2" w:name="_Toc17947"/>
      <w:bookmarkStart w:id="3" w:name="_Toc22213"/>
      <w:r>
        <w:rPr>
          <w:rFonts w:hint="eastAsia" w:ascii="仿宋" w:hAnsi="仿宋" w:eastAsia="仿宋" w:cs="仿宋"/>
          <w:b/>
          <w:bCs w:val="0"/>
          <w:color w:val="auto"/>
          <w:sz w:val="24"/>
          <w:szCs w:val="24"/>
          <w:highlight w:val="none"/>
        </w:rPr>
        <w:t>第</w:t>
      </w:r>
      <w:r>
        <w:rPr>
          <w:rFonts w:hint="eastAsia" w:ascii="仿宋" w:hAnsi="仿宋" w:eastAsia="仿宋" w:cs="仿宋"/>
          <w:b/>
          <w:bCs w:val="0"/>
          <w:color w:val="auto"/>
          <w:sz w:val="24"/>
          <w:szCs w:val="24"/>
          <w:highlight w:val="none"/>
          <w:lang w:val="en-US" w:eastAsia="zh-CN"/>
        </w:rPr>
        <w:t>二</w:t>
      </w:r>
      <w:r>
        <w:rPr>
          <w:rFonts w:hint="eastAsia" w:ascii="仿宋" w:hAnsi="仿宋" w:eastAsia="仿宋" w:cs="仿宋"/>
          <w:b/>
          <w:bCs w:val="0"/>
          <w:color w:val="auto"/>
          <w:sz w:val="24"/>
          <w:szCs w:val="24"/>
          <w:highlight w:val="none"/>
        </w:rPr>
        <w:t>条</w:t>
      </w:r>
      <w:r>
        <w:rPr>
          <w:rFonts w:hint="eastAsia" w:ascii="仿宋" w:hAnsi="仿宋" w:eastAsia="仿宋" w:cs="仿宋"/>
          <w:b/>
          <w:bCs w:val="0"/>
          <w:color w:val="auto"/>
          <w:sz w:val="24"/>
          <w:szCs w:val="24"/>
          <w:highlight w:val="none"/>
          <w:lang w:val="en-US" w:eastAsia="zh-CN"/>
        </w:rPr>
        <w:t xml:space="preserve"> 合同价款</w:t>
      </w:r>
      <w:bookmarkEnd w:id="2"/>
      <w:bookmarkEnd w:id="3"/>
    </w:p>
    <w:p>
      <w:pPr>
        <w:pStyle w:val="13"/>
        <w:keepNext w:val="0"/>
        <w:keepLines w:val="0"/>
        <w:pageBreakBefore w:val="0"/>
        <w:kinsoku/>
        <w:overflowPunct/>
        <w:topLinePunct w:val="0"/>
        <w:bidi w:val="0"/>
        <w:adjustRightInd/>
        <w:snapToGrid/>
        <w:spacing w:line="360" w:lineRule="auto"/>
        <w:ind w:firstLine="48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val="en-US" w:eastAsia="zh-CN"/>
        </w:rPr>
        <w:t>合同总价款</w:t>
      </w:r>
      <w:r>
        <w:rPr>
          <w:rFonts w:hint="eastAsia" w:ascii="仿宋" w:hAnsi="仿宋" w:eastAsia="仿宋" w:cs="仿宋"/>
          <w:color w:val="auto"/>
          <w:sz w:val="24"/>
          <w:szCs w:val="24"/>
          <w:highlight w:val="none"/>
        </w:rPr>
        <w:t>为人民币</w:t>
      </w:r>
      <w:r>
        <w:rPr>
          <w:rFonts w:hint="eastAsia" w:ascii="仿宋" w:hAnsi="仿宋" w:eastAsia="仿宋" w:cs="仿宋"/>
          <w:color w:val="auto"/>
          <w:sz w:val="24"/>
          <w:szCs w:val="24"/>
          <w:highlight w:val="none"/>
          <w:u w:val="single"/>
        </w:rPr>
        <w:t>（大写）：</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 xml:space="preserve">   </w:t>
      </w:r>
    </w:p>
    <w:p>
      <w:pPr>
        <w:pStyle w:val="13"/>
        <w:keepNext w:val="0"/>
        <w:keepLines w:val="0"/>
        <w:pageBreakBefore w:val="0"/>
        <w:kinsoku/>
        <w:overflowPunct/>
        <w:topLinePunct w:val="0"/>
        <w:bidi w:val="0"/>
        <w:adjustRightInd/>
        <w:snapToGrid/>
        <w:spacing w:line="360" w:lineRule="auto"/>
        <w:ind w:firstLine="480"/>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2.本项目</w:t>
      </w:r>
      <w:r>
        <w:rPr>
          <w:rFonts w:hint="eastAsia" w:ascii="仿宋" w:hAnsi="仿宋" w:eastAsia="仿宋" w:cs="仿宋"/>
          <w:color w:val="auto"/>
          <w:sz w:val="24"/>
          <w:szCs w:val="24"/>
          <w:highlight w:val="none"/>
          <w:lang w:val="en-US" w:eastAsia="zh-CN"/>
        </w:rPr>
        <w:t>合同总价款</w:t>
      </w:r>
      <w:r>
        <w:rPr>
          <w:rFonts w:hint="eastAsia" w:ascii="仿宋" w:hAnsi="仿宋" w:eastAsia="仿宋" w:cs="仿宋"/>
          <w:color w:val="auto"/>
          <w:sz w:val="24"/>
          <w:szCs w:val="24"/>
          <w:highlight w:val="none"/>
        </w:rPr>
        <w:t>由以下组成：</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 xml:space="preserve"> </w:t>
      </w:r>
    </w:p>
    <w:p>
      <w:pPr>
        <w:pStyle w:val="13"/>
        <w:keepNext w:val="0"/>
        <w:keepLines w:val="0"/>
        <w:pageBreakBefore w:val="0"/>
        <w:kinsoku/>
        <w:overflowPunct/>
        <w:topLinePunct w:val="0"/>
        <w:bidi w:val="0"/>
        <w:adjustRightInd/>
        <w:snapToGrid/>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3.甲方无须另向乙方支付本合同规定之外的其他任何费用</w:t>
      </w:r>
    </w:p>
    <w:p>
      <w:pPr>
        <w:pStyle w:val="13"/>
        <w:keepNext w:val="0"/>
        <w:keepLines w:val="0"/>
        <w:pageBreakBefore w:val="0"/>
        <w:kinsoku/>
        <w:overflowPunct/>
        <w:topLinePunct w:val="0"/>
        <w:bidi w:val="0"/>
        <w:adjustRightInd/>
        <w:snapToGrid/>
        <w:spacing w:line="360" w:lineRule="auto"/>
        <w:ind w:firstLine="48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4.履约保证金：不涉及</w:t>
      </w:r>
    </w:p>
    <w:p>
      <w:pPr>
        <w:keepNext w:val="0"/>
        <w:keepLines w:val="0"/>
        <w:pageBreakBefore w:val="0"/>
        <w:tabs>
          <w:tab w:val="left" w:pos="1379"/>
        </w:tabs>
        <w:kinsoku/>
        <w:overflowPunct/>
        <w:topLinePunct w:val="0"/>
        <w:bidi w:val="0"/>
        <w:adjustRightInd/>
        <w:snapToGrid/>
        <w:spacing w:line="360" w:lineRule="auto"/>
        <w:ind w:firstLine="482" w:firstLineChars="200"/>
        <w:outlineLvl w:val="1"/>
        <w:rPr>
          <w:rFonts w:hint="eastAsia" w:ascii="仿宋" w:hAnsi="仿宋" w:eastAsia="仿宋" w:cs="仿宋"/>
          <w:b/>
          <w:bCs w:val="0"/>
          <w:color w:val="auto"/>
          <w:sz w:val="24"/>
          <w:szCs w:val="24"/>
          <w:highlight w:val="none"/>
          <w:lang w:val="en-US" w:eastAsia="zh-CN"/>
        </w:rPr>
      </w:pPr>
      <w:bookmarkStart w:id="4" w:name="_Toc4425"/>
      <w:bookmarkStart w:id="5" w:name="_Toc31903"/>
      <w:r>
        <w:rPr>
          <w:rFonts w:hint="eastAsia" w:ascii="仿宋" w:hAnsi="仿宋" w:eastAsia="仿宋" w:cs="仿宋"/>
          <w:b/>
          <w:bCs w:val="0"/>
          <w:color w:val="auto"/>
          <w:sz w:val="24"/>
          <w:szCs w:val="24"/>
          <w:highlight w:val="none"/>
        </w:rPr>
        <w:t>第</w:t>
      </w:r>
      <w:r>
        <w:rPr>
          <w:rFonts w:hint="eastAsia" w:ascii="仿宋" w:hAnsi="仿宋" w:eastAsia="仿宋" w:cs="仿宋"/>
          <w:b/>
          <w:bCs w:val="0"/>
          <w:color w:val="auto"/>
          <w:sz w:val="24"/>
          <w:szCs w:val="24"/>
          <w:highlight w:val="none"/>
          <w:lang w:val="en-US" w:eastAsia="zh-CN"/>
        </w:rPr>
        <w:t>三</w:t>
      </w:r>
      <w:r>
        <w:rPr>
          <w:rFonts w:hint="eastAsia" w:ascii="仿宋" w:hAnsi="仿宋" w:eastAsia="仿宋" w:cs="仿宋"/>
          <w:b/>
          <w:bCs w:val="0"/>
          <w:color w:val="auto"/>
          <w:sz w:val="24"/>
          <w:szCs w:val="24"/>
          <w:highlight w:val="none"/>
        </w:rPr>
        <w:t xml:space="preserve">条  </w:t>
      </w:r>
      <w:r>
        <w:rPr>
          <w:rFonts w:hint="eastAsia" w:ascii="仿宋" w:hAnsi="仿宋" w:eastAsia="仿宋" w:cs="仿宋"/>
          <w:b/>
          <w:bCs w:val="0"/>
          <w:color w:val="auto"/>
          <w:sz w:val="24"/>
          <w:szCs w:val="24"/>
          <w:highlight w:val="none"/>
          <w:lang w:val="en-US" w:eastAsia="zh-CN"/>
        </w:rPr>
        <w:t>付款方式、时间及条件</w:t>
      </w:r>
      <w:bookmarkEnd w:id="4"/>
      <w:bookmarkEnd w:id="5"/>
    </w:p>
    <w:p>
      <w:pPr>
        <w:pStyle w:val="13"/>
        <w:keepNext w:val="0"/>
        <w:keepLines w:val="0"/>
        <w:pageBreakBefore w:val="0"/>
        <w:kinsoku/>
        <w:overflowPunct/>
        <w:topLinePunct w:val="0"/>
        <w:bidi w:val="0"/>
        <w:adjustRightInd/>
        <w:snapToGrid/>
        <w:spacing w:line="360" w:lineRule="auto"/>
        <w:ind w:firstLine="480"/>
        <w:rPr>
          <w:rFonts w:hint="eastAsia" w:ascii="仿宋" w:hAnsi="仿宋" w:eastAsia="仿宋" w:cs="仿宋"/>
          <w:color w:val="auto"/>
          <w:sz w:val="24"/>
          <w:szCs w:val="24"/>
          <w:highlight w:val="none"/>
          <w:lang w:eastAsia="zh-CN"/>
        </w:rPr>
      </w:pPr>
      <w:bookmarkStart w:id="6" w:name="_Toc32672"/>
      <w:r>
        <w:rPr>
          <w:rFonts w:hint="eastAsia" w:ascii="仿宋" w:hAnsi="仿宋" w:eastAsia="仿宋" w:cs="仿宋"/>
          <w:color w:val="auto"/>
          <w:sz w:val="24"/>
          <w:szCs w:val="24"/>
          <w:highlight w:val="none"/>
          <w:lang w:eastAsia="zh-CN"/>
        </w:rPr>
        <w:t>采购包1： 付款条件说明：合同签订后，达到付款条件起10日内，支付合同总金额的</w:t>
      </w:r>
      <w:r>
        <w:rPr>
          <w:rFonts w:hint="eastAsia" w:ascii="仿宋" w:hAnsi="仿宋" w:eastAsia="仿宋" w:cs="仿宋"/>
          <w:color w:val="auto"/>
          <w:sz w:val="24"/>
          <w:szCs w:val="24"/>
          <w:highlight w:val="none"/>
          <w:lang w:val="en-US" w:eastAsia="zh-CN"/>
        </w:rPr>
        <w:t>4</w:t>
      </w:r>
      <w:r>
        <w:rPr>
          <w:rFonts w:hint="eastAsia" w:ascii="仿宋" w:hAnsi="仿宋" w:eastAsia="仿宋" w:cs="仿宋"/>
          <w:color w:val="auto"/>
          <w:sz w:val="24"/>
          <w:szCs w:val="24"/>
          <w:highlight w:val="none"/>
          <w:lang w:eastAsia="zh-CN"/>
        </w:rPr>
        <w:t>0.00%。</w:t>
      </w:r>
    </w:p>
    <w:p>
      <w:pPr>
        <w:pStyle w:val="13"/>
        <w:keepNext w:val="0"/>
        <w:keepLines w:val="0"/>
        <w:pageBreakBefore w:val="0"/>
        <w:kinsoku/>
        <w:overflowPunct/>
        <w:topLinePunct w:val="0"/>
        <w:bidi w:val="0"/>
        <w:adjustRightInd/>
        <w:snapToGrid/>
        <w:spacing w:line="360" w:lineRule="auto"/>
        <w:ind w:firstLine="48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采购包1：付款条件说明：服务期结束且经采购人验收合格后，达到付款条件起10日内，支付合同总金额的</w:t>
      </w:r>
      <w:r>
        <w:rPr>
          <w:rFonts w:hint="eastAsia" w:ascii="仿宋" w:hAnsi="仿宋" w:eastAsia="仿宋" w:cs="仿宋"/>
          <w:color w:val="auto"/>
          <w:sz w:val="24"/>
          <w:szCs w:val="24"/>
          <w:highlight w:val="none"/>
          <w:lang w:val="en-US" w:eastAsia="zh-CN"/>
        </w:rPr>
        <w:t>6</w:t>
      </w:r>
      <w:r>
        <w:rPr>
          <w:rFonts w:hint="eastAsia" w:ascii="仿宋" w:hAnsi="仿宋" w:eastAsia="仿宋" w:cs="仿宋"/>
          <w:color w:val="auto"/>
          <w:sz w:val="24"/>
          <w:szCs w:val="24"/>
          <w:highlight w:val="none"/>
          <w:lang w:eastAsia="zh-CN"/>
        </w:rPr>
        <w:t>0.00%。</w:t>
      </w:r>
    </w:p>
    <w:p>
      <w:pPr>
        <w:keepNext w:val="0"/>
        <w:keepLines w:val="0"/>
        <w:pageBreakBefore w:val="0"/>
        <w:widowControl w:val="0"/>
        <w:numPr>
          <w:ilvl w:val="0"/>
          <w:numId w:val="0"/>
        </w:numPr>
        <w:tabs>
          <w:tab w:val="left" w:pos="1379"/>
        </w:tabs>
        <w:kinsoku/>
        <w:wordWrap/>
        <w:overflowPunct/>
        <w:topLinePunct w:val="0"/>
        <w:bidi w:val="0"/>
        <w:adjustRightInd/>
        <w:snapToGrid/>
        <w:spacing w:line="360" w:lineRule="auto"/>
        <w:ind w:firstLine="482" w:firstLineChars="200"/>
        <w:textAlignment w:val="auto"/>
        <w:outlineLvl w:val="1"/>
        <w:rPr>
          <w:rFonts w:hint="eastAsia" w:ascii="仿宋" w:hAnsi="仿宋" w:eastAsia="仿宋" w:cs="仿宋"/>
          <w:b/>
          <w:bCs w:val="0"/>
          <w:color w:val="auto"/>
          <w:sz w:val="24"/>
          <w:szCs w:val="24"/>
          <w:highlight w:val="none"/>
          <w:lang w:val="en-US" w:eastAsia="zh-CN"/>
        </w:rPr>
      </w:pPr>
      <w:bookmarkStart w:id="7" w:name="_Toc25736"/>
      <w:r>
        <w:rPr>
          <w:rFonts w:hint="eastAsia" w:ascii="仿宋" w:hAnsi="仿宋" w:eastAsia="仿宋" w:cs="仿宋"/>
          <w:b/>
          <w:bCs w:val="0"/>
          <w:color w:val="auto"/>
          <w:sz w:val="24"/>
          <w:szCs w:val="24"/>
          <w:highlight w:val="none"/>
        </w:rPr>
        <w:t>第</w:t>
      </w:r>
      <w:r>
        <w:rPr>
          <w:rFonts w:hint="eastAsia" w:ascii="仿宋" w:hAnsi="仿宋" w:eastAsia="仿宋" w:cs="仿宋"/>
          <w:b/>
          <w:bCs w:val="0"/>
          <w:color w:val="auto"/>
          <w:sz w:val="24"/>
          <w:szCs w:val="24"/>
          <w:highlight w:val="none"/>
          <w:lang w:val="en-US" w:eastAsia="zh-CN"/>
        </w:rPr>
        <w:t>四</w:t>
      </w:r>
      <w:r>
        <w:rPr>
          <w:rFonts w:hint="eastAsia" w:ascii="仿宋" w:hAnsi="仿宋" w:eastAsia="仿宋" w:cs="仿宋"/>
          <w:b/>
          <w:bCs w:val="0"/>
          <w:color w:val="auto"/>
          <w:sz w:val="24"/>
          <w:szCs w:val="24"/>
          <w:highlight w:val="none"/>
        </w:rPr>
        <w:t xml:space="preserve">条 </w:t>
      </w:r>
      <w:r>
        <w:rPr>
          <w:rFonts w:hint="eastAsia" w:ascii="仿宋" w:hAnsi="仿宋" w:eastAsia="仿宋" w:cs="仿宋"/>
          <w:b/>
          <w:bCs w:val="0"/>
          <w:color w:val="auto"/>
          <w:sz w:val="24"/>
          <w:szCs w:val="24"/>
          <w:highlight w:val="none"/>
          <w:lang w:val="en-US" w:eastAsia="zh-CN"/>
        </w:rPr>
        <w:t>交付时间、地点、方式</w:t>
      </w:r>
      <w:bookmarkEnd w:id="6"/>
      <w:bookmarkEnd w:id="7"/>
    </w:p>
    <w:p>
      <w:pPr>
        <w:keepNext w:val="0"/>
        <w:keepLines w:val="0"/>
        <w:pageBreakBefore w:val="0"/>
        <w:widowControl w:val="0"/>
        <w:tabs>
          <w:tab w:val="left" w:pos="1379"/>
        </w:tabs>
        <w:kinsoku/>
        <w:wordWrap/>
        <w:overflowPunct/>
        <w:topLinePunct w:val="0"/>
        <w:bidi w:val="0"/>
        <w:adjustRightInd/>
        <w:snapToGrid/>
        <w:spacing w:line="360" w:lineRule="auto"/>
        <w:ind w:firstLine="480" w:firstLineChars="200"/>
        <w:textAlignment w:val="auto"/>
        <w:rPr>
          <w:rFonts w:hint="default" w:ascii="仿宋" w:hAnsi="仿宋" w:eastAsia="仿宋" w:cs="仿宋"/>
          <w:color w:val="auto"/>
          <w:sz w:val="24"/>
          <w:szCs w:val="24"/>
          <w:highlight w:val="none"/>
          <w:u w:val="single"/>
          <w:lang w:val="en-US" w:eastAsia="zh-CN"/>
        </w:rPr>
      </w:pPr>
      <w:bookmarkStart w:id="8" w:name="_Toc239233914"/>
      <w:bookmarkStart w:id="9" w:name="_Toc238984975"/>
      <w:bookmarkStart w:id="10" w:name="_Toc211854449"/>
      <w:bookmarkStart w:id="11" w:name="_Toc247334841"/>
      <w:bookmarkStart w:id="12" w:name="_Toc283019214"/>
      <w:bookmarkStart w:id="13" w:name="_Toc225670751"/>
      <w:bookmarkStart w:id="14" w:name="_Toc211911348"/>
      <w:bookmarkStart w:id="15" w:name="_Toc286993786"/>
      <w:bookmarkStart w:id="16" w:name="_Toc232492928"/>
      <w:bookmarkStart w:id="17" w:name="_Toc225654644"/>
      <w:bookmarkStart w:id="18" w:name="_Toc237145406"/>
      <w:bookmarkStart w:id="19" w:name="_Toc251768862"/>
      <w:bookmarkStart w:id="20" w:name="_Toc212019594"/>
      <w:bookmarkStart w:id="21" w:name="_Toc282696226"/>
      <w:bookmarkStart w:id="22" w:name="_Toc241833903"/>
      <w:bookmarkStart w:id="23" w:name="_Toc225244852"/>
      <w:bookmarkStart w:id="24" w:name="_Toc185395249"/>
      <w:bookmarkStart w:id="25" w:name="_Toc239568418"/>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val="en-US" w:eastAsia="zh-CN"/>
        </w:rPr>
        <w:t>.交付时间</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u w:val="single"/>
        </w:rPr>
        <w:t>自签订合同之日起至该项目结束。</w:t>
      </w:r>
      <w:r>
        <w:rPr>
          <w:rFonts w:hint="eastAsia" w:ascii="仿宋" w:hAnsi="仿宋" w:eastAsia="仿宋" w:cs="仿宋"/>
          <w:color w:val="auto"/>
          <w:sz w:val="24"/>
          <w:szCs w:val="24"/>
          <w:highlight w:val="none"/>
          <w:u w:val="single"/>
          <w:lang w:val="en-US" w:eastAsia="zh-CN"/>
        </w:rPr>
        <w:t xml:space="preserve">        </w:t>
      </w:r>
    </w:p>
    <w:p>
      <w:pPr>
        <w:keepNext w:val="0"/>
        <w:keepLines w:val="0"/>
        <w:pageBreakBefore w:val="0"/>
        <w:widowControl w:val="0"/>
        <w:tabs>
          <w:tab w:val="left" w:pos="1379"/>
        </w:tabs>
        <w:kinsoku/>
        <w:wordWrap/>
        <w:overflowPunct/>
        <w:topLinePunct w:val="0"/>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w:t>
      </w:r>
      <w:r>
        <w:rPr>
          <w:rFonts w:hint="eastAsia" w:ascii="仿宋" w:hAnsi="仿宋" w:eastAsia="仿宋" w:cs="仿宋"/>
          <w:color w:val="auto"/>
          <w:sz w:val="24"/>
          <w:szCs w:val="24"/>
          <w:highlight w:val="none"/>
          <w:lang w:val="en-US" w:eastAsia="zh-CN"/>
        </w:rPr>
        <w:t>.交付</w:t>
      </w:r>
      <w:r>
        <w:rPr>
          <w:rFonts w:hint="eastAsia" w:ascii="仿宋" w:hAnsi="仿宋" w:eastAsia="仿宋" w:cs="仿宋"/>
          <w:color w:val="auto"/>
          <w:sz w:val="24"/>
          <w:szCs w:val="24"/>
          <w:highlight w:val="none"/>
        </w:rPr>
        <w:t>地点：</w:t>
      </w:r>
      <w:r>
        <w:rPr>
          <w:rFonts w:hint="eastAsia" w:ascii="仿宋" w:hAnsi="仿宋" w:eastAsia="仿宋" w:cs="仿宋"/>
          <w:color w:val="auto"/>
          <w:sz w:val="24"/>
          <w:szCs w:val="24"/>
          <w:highlight w:val="none"/>
          <w:u w:val="single"/>
          <w:lang w:val="en-US" w:eastAsia="zh-CN"/>
        </w:rPr>
        <w:t>甲方指定地点</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 xml:space="preserve">      </w:t>
      </w:r>
    </w:p>
    <w:p>
      <w:pPr>
        <w:pStyle w:val="11"/>
        <w:keepNext w:val="0"/>
        <w:keepLines w:val="0"/>
        <w:pageBreakBefore w:val="0"/>
        <w:widowControl w:val="0"/>
        <w:kinsoku/>
        <w:wordWrap/>
        <w:overflowPunct/>
        <w:topLinePunct w:val="0"/>
        <w:bidi w:val="0"/>
        <w:adjustRightInd/>
        <w:snapToGrid/>
        <w:spacing w:line="360" w:lineRule="auto"/>
        <w:textAlignment w:val="auto"/>
        <w:rPr>
          <w:rFonts w:hint="eastAsia" w:ascii="仿宋" w:hAnsi="仿宋" w:eastAsia="仿宋" w:cs="仿宋"/>
          <w:color w:val="auto"/>
          <w:sz w:val="24"/>
          <w:szCs w:val="24"/>
          <w:highlight w:val="none"/>
          <w:u w:val="single"/>
          <w:lang w:val="en-US" w:eastAsia="zh-CN"/>
        </w:rPr>
      </w:pPr>
      <w:r>
        <w:rPr>
          <w:rFonts w:hint="eastAsia" w:ascii="仿宋" w:hAnsi="仿宋" w:eastAsia="仿宋" w:cs="仿宋"/>
          <w:color w:val="auto"/>
          <w:sz w:val="24"/>
          <w:szCs w:val="24"/>
          <w:highlight w:val="none"/>
          <w:lang w:val="en-US" w:eastAsia="zh-CN"/>
        </w:rPr>
        <w:t>3.交付条件：</w:t>
      </w:r>
      <w:r>
        <w:rPr>
          <w:rFonts w:hint="eastAsia" w:ascii="仿宋" w:hAnsi="仿宋" w:eastAsia="仿宋" w:cs="仿宋"/>
          <w:color w:val="auto"/>
          <w:sz w:val="24"/>
          <w:szCs w:val="24"/>
          <w:highlight w:val="none"/>
          <w:u w:val="single"/>
        </w:rPr>
        <w:t>本次所有服务工作完成</w:t>
      </w:r>
      <w:r>
        <w:rPr>
          <w:rFonts w:hint="eastAsia" w:ascii="仿宋" w:hAnsi="仿宋" w:eastAsia="仿宋" w:cs="仿宋"/>
          <w:color w:val="auto"/>
          <w:sz w:val="24"/>
          <w:szCs w:val="24"/>
          <w:highlight w:val="none"/>
          <w:u w:val="single"/>
          <w:lang w:val="en-US" w:eastAsia="zh-CN"/>
        </w:rPr>
        <w:t xml:space="preserve">                   </w:t>
      </w:r>
    </w:p>
    <w:p>
      <w:pPr>
        <w:pStyle w:val="11"/>
        <w:keepNext w:val="0"/>
        <w:keepLines w:val="0"/>
        <w:pageBreakBefore w:val="0"/>
        <w:widowControl w:val="0"/>
        <w:kinsoku/>
        <w:wordWrap/>
        <w:overflowPunct/>
        <w:topLinePunct w:val="0"/>
        <w:bidi w:val="0"/>
        <w:adjustRightInd/>
        <w:snapToGrid/>
        <w:spacing w:line="360" w:lineRule="auto"/>
        <w:textAlignment w:val="auto"/>
        <w:rPr>
          <w:rFonts w:hint="eastAsia" w:ascii="仿宋" w:hAnsi="仿宋" w:eastAsia="仿宋" w:cs="仿宋"/>
          <w:color w:val="auto"/>
          <w:sz w:val="24"/>
          <w:szCs w:val="24"/>
          <w:highlight w:val="none"/>
          <w:u w:val="single"/>
          <w:lang w:val="en-US" w:eastAsia="zh-CN"/>
        </w:rPr>
      </w:pPr>
      <w:r>
        <w:rPr>
          <w:rFonts w:hint="eastAsia" w:ascii="仿宋" w:hAnsi="仿宋" w:eastAsia="仿宋" w:cs="仿宋"/>
          <w:color w:val="auto"/>
          <w:sz w:val="24"/>
          <w:szCs w:val="24"/>
          <w:highlight w:val="none"/>
          <w:u w:val="none"/>
          <w:lang w:val="en-US" w:eastAsia="zh-CN"/>
        </w:rPr>
        <w:t>甲方联系人：</w:t>
      </w:r>
      <w:r>
        <w:rPr>
          <w:rFonts w:hint="eastAsia" w:ascii="仿宋" w:hAnsi="仿宋" w:eastAsia="仿宋" w:cs="仿宋"/>
          <w:color w:val="auto"/>
          <w:sz w:val="24"/>
          <w:szCs w:val="24"/>
          <w:highlight w:val="none"/>
          <w:u w:val="single"/>
          <w:lang w:val="en-US" w:eastAsia="zh-CN"/>
        </w:rPr>
        <w:t xml:space="preserve">      （姓名，联系方式）              </w:t>
      </w:r>
      <w:r>
        <w:rPr>
          <w:rFonts w:hint="eastAsia" w:ascii="仿宋" w:hAnsi="仿宋" w:eastAsia="仿宋" w:cs="仿宋"/>
          <w:color w:val="auto"/>
          <w:sz w:val="24"/>
          <w:szCs w:val="24"/>
          <w:highlight w:val="none"/>
          <w:lang w:val="en-US" w:eastAsia="zh-CN"/>
        </w:rPr>
        <w:t xml:space="preserve"> </w:t>
      </w:r>
    </w:p>
    <w:p>
      <w:pPr>
        <w:pStyle w:val="11"/>
        <w:keepNext w:val="0"/>
        <w:keepLines w:val="0"/>
        <w:pageBreakBefore w:val="0"/>
        <w:widowControl w:val="0"/>
        <w:kinsoku/>
        <w:wordWrap/>
        <w:overflowPunct/>
        <w:topLinePunct w:val="0"/>
        <w:bidi w:val="0"/>
        <w:adjustRightInd/>
        <w:snapToGrid/>
        <w:spacing w:line="360" w:lineRule="auto"/>
        <w:textAlignment w:val="auto"/>
        <w:rPr>
          <w:rFonts w:hint="eastAsia" w:ascii="仿宋" w:hAnsi="仿宋" w:eastAsia="仿宋" w:cs="仿宋"/>
          <w:b/>
          <w:color w:val="auto"/>
          <w:sz w:val="24"/>
          <w:szCs w:val="24"/>
          <w:highlight w:val="none"/>
        </w:rPr>
      </w:pPr>
      <w:r>
        <w:rPr>
          <w:rFonts w:hint="eastAsia" w:ascii="仿宋" w:hAnsi="仿宋" w:eastAsia="仿宋" w:cs="仿宋"/>
          <w:color w:val="auto"/>
          <w:sz w:val="24"/>
          <w:szCs w:val="24"/>
          <w:highlight w:val="none"/>
          <w:u w:val="none"/>
          <w:lang w:val="en-US" w:eastAsia="zh-CN"/>
        </w:rPr>
        <w:t>乙方联系人：</w:t>
      </w:r>
      <w:r>
        <w:rPr>
          <w:rFonts w:hint="eastAsia" w:ascii="仿宋" w:hAnsi="仿宋" w:eastAsia="仿宋" w:cs="仿宋"/>
          <w:color w:val="auto"/>
          <w:sz w:val="24"/>
          <w:szCs w:val="24"/>
          <w:highlight w:val="none"/>
          <w:u w:val="single"/>
          <w:lang w:val="en-US" w:eastAsia="zh-CN"/>
        </w:rPr>
        <w:t xml:space="preserve">      （姓名，联系方式）              </w:t>
      </w:r>
      <w:r>
        <w:rPr>
          <w:rFonts w:hint="eastAsia" w:ascii="仿宋" w:hAnsi="仿宋" w:eastAsia="仿宋" w:cs="仿宋"/>
          <w:color w:val="auto"/>
          <w:sz w:val="24"/>
          <w:szCs w:val="24"/>
          <w:highlight w:val="none"/>
          <w:lang w:val="en-US" w:eastAsia="zh-CN"/>
        </w:rPr>
        <w:t xml:space="preserve"> </w:t>
      </w:r>
    </w:p>
    <w:p>
      <w:pPr>
        <w:keepNext w:val="0"/>
        <w:keepLines w:val="0"/>
        <w:pageBreakBefore w:val="0"/>
        <w:tabs>
          <w:tab w:val="left" w:pos="1379"/>
        </w:tabs>
        <w:kinsoku/>
        <w:overflowPunct/>
        <w:topLinePunct w:val="0"/>
        <w:bidi w:val="0"/>
        <w:adjustRightInd/>
        <w:snapToGrid/>
        <w:spacing w:line="360" w:lineRule="auto"/>
        <w:ind w:firstLine="482" w:firstLineChars="200"/>
        <w:outlineLvl w:val="1"/>
        <w:rPr>
          <w:rFonts w:hint="eastAsia" w:ascii="仿宋" w:hAnsi="仿宋" w:eastAsia="仿宋" w:cs="仿宋"/>
          <w:b/>
          <w:bCs w:val="0"/>
          <w:color w:val="auto"/>
          <w:sz w:val="24"/>
          <w:szCs w:val="24"/>
          <w:highlight w:val="none"/>
          <w:lang w:val="en-US" w:eastAsia="zh-CN"/>
        </w:rPr>
      </w:pPr>
      <w:bookmarkStart w:id="26" w:name="_Toc5091"/>
      <w:bookmarkStart w:id="27" w:name="_Toc28705"/>
      <w:r>
        <w:rPr>
          <w:rFonts w:hint="eastAsia" w:ascii="仿宋" w:hAnsi="仿宋" w:eastAsia="仿宋" w:cs="仿宋"/>
          <w:b/>
          <w:bCs w:val="0"/>
          <w:color w:val="auto"/>
          <w:sz w:val="24"/>
          <w:szCs w:val="24"/>
          <w:highlight w:val="none"/>
        </w:rPr>
        <w:t>第</w:t>
      </w:r>
      <w:r>
        <w:rPr>
          <w:rFonts w:hint="eastAsia" w:ascii="仿宋" w:hAnsi="仿宋" w:eastAsia="仿宋" w:cs="仿宋"/>
          <w:b/>
          <w:bCs w:val="0"/>
          <w:color w:val="auto"/>
          <w:sz w:val="24"/>
          <w:szCs w:val="24"/>
          <w:highlight w:val="none"/>
          <w:lang w:val="en-US" w:eastAsia="zh-CN"/>
        </w:rPr>
        <w:t>五</w:t>
      </w:r>
      <w:r>
        <w:rPr>
          <w:rFonts w:hint="eastAsia" w:ascii="仿宋" w:hAnsi="仿宋" w:eastAsia="仿宋" w:cs="仿宋"/>
          <w:b/>
          <w:bCs w:val="0"/>
          <w:color w:val="auto"/>
          <w:sz w:val="24"/>
          <w:szCs w:val="24"/>
          <w:highlight w:val="none"/>
        </w:rPr>
        <w:t>条</w:t>
      </w:r>
      <w:r>
        <w:rPr>
          <w:rFonts w:hint="eastAsia" w:ascii="仿宋" w:hAnsi="仿宋" w:eastAsia="仿宋" w:cs="仿宋"/>
          <w:b/>
          <w:bCs w:val="0"/>
          <w:color w:val="auto"/>
          <w:sz w:val="24"/>
          <w:szCs w:val="24"/>
          <w:highlight w:val="none"/>
          <w:lang w:val="en-US" w:eastAsia="zh-CN"/>
        </w:rPr>
        <w:t xml:space="preserve"> 质量保证及售后服务</w:t>
      </w:r>
      <w:bookmarkEnd w:id="26"/>
      <w:bookmarkEnd w:id="27"/>
    </w:p>
    <w:p>
      <w:pPr>
        <w:pStyle w:val="13"/>
        <w:keepNext w:val="0"/>
        <w:keepLines w:val="0"/>
        <w:pageBreakBefore w:val="0"/>
        <w:kinsoku/>
        <w:overflowPunct/>
        <w:topLinePunct w:val="0"/>
        <w:bidi w:val="0"/>
        <w:adjustRightInd/>
        <w:snapToGrid/>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质量保证</w:t>
      </w:r>
      <w:r>
        <w:rPr>
          <w:rFonts w:hint="eastAsia" w:ascii="仿宋" w:hAnsi="仿宋" w:eastAsia="仿宋" w:cs="仿宋"/>
          <w:color w:val="auto"/>
          <w:sz w:val="24"/>
          <w:szCs w:val="24"/>
          <w:highlight w:val="none"/>
        </w:rPr>
        <w:t>：乙方应保证所提供的服务，符合</w:t>
      </w:r>
      <w:r>
        <w:rPr>
          <w:rFonts w:hint="eastAsia" w:ascii="仿宋" w:hAnsi="仿宋" w:eastAsia="仿宋" w:cs="仿宋"/>
          <w:color w:val="auto"/>
          <w:sz w:val="24"/>
          <w:szCs w:val="24"/>
          <w:highlight w:val="none"/>
          <w:lang w:val="en-US" w:eastAsia="zh-CN"/>
        </w:rPr>
        <w:t>甲方的</w:t>
      </w:r>
      <w:r>
        <w:rPr>
          <w:rFonts w:hint="eastAsia" w:ascii="仿宋" w:hAnsi="仿宋" w:eastAsia="仿宋" w:cs="仿宋"/>
          <w:color w:val="auto"/>
          <w:sz w:val="24"/>
          <w:szCs w:val="24"/>
          <w:highlight w:val="none"/>
        </w:rPr>
        <w:t>要求。如不符时，乙方应负全责并尽快处理解决，由此造成的损失和相关费用由乙方负责，甲方保留终止合同及索赔的权利。</w:t>
      </w:r>
    </w:p>
    <w:p>
      <w:pPr>
        <w:pStyle w:val="13"/>
        <w:keepNext w:val="0"/>
        <w:keepLines w:val="0"/>
        <w:pageBreakBefore w:val="0"/>
        <w:kinsoku/>
        <w:overflowPunct/>
        <w:topLinePunct w:val="0"/>
        <w:bidi w:val="0"/>
        <w:adjustRightInd/>
        <w:snapToGrid/>
        <w:spacing w:line="360" w:lineRule="auto"/>
        <w:ind w:firstLine="480" w:firstLineChars="20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售后服务：</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lang w:val="en-US" w:eastAsia="zh-CN"/>
        </w:rPr>
        <w:t>。</w:t>
      </w:r>
    </w:p>
    <w:p>
      <w:pPr>
        <w:pStyle w:val="13"/>
        <w:keepNext w:val="0"/>
        <w:keepLines w:val="0"/>
        <w:pageBreakBefore w:val="0"/>
        <w:numPr>
          <w:ilvl w:val="0"/>
          <w:numId w:val="2"/>
        </w:numPr>
        <w:kinsoku/>
        <w:overflowPunct/>
        <w:topLinePunct w:val="0"/>
        <w:bidi w:val="0"/>
        <w:adjustRightInd/>
        <w:snapToGrid/>
        <w:spacing w:line="360" w:lineRule="auto"/>
        <w:ind w:firstLine="482" w:firstLineChars="200"/>
        <w:outlineLvl w:val="1"/>
        <w:rPr>
          <w:rFonts w:hint="eastAsia" w:ascii="仿宋" w:hAnsi="仿宋" w:eastAsia="仿宋" w:cs="仿宋"/>
          <w:b/>
          <w:bCs w:val="0"/>
          <w:color w:val="auto"/>
          <w:sz w:val="24"/>
          <w:szCs w:val="24"/>
          <w:highlight w:val="none"/>
          <w:lang w:val="en-US" w:eastAsia="zh-CN"/>
        </w:rPr>
      </w:pPr>
      <w:r>
        <w:rPr>
          <w:rFonts w:hint="eastAsia" w:ascii="仿宋" w:hAnsi="仿宋" w:eastAsia="仿宋" w:cs="仿宋"/>
          <w:b/>
          <w:bCs w:val="0"/>
          <w:color w:val="auto"/>
          <w:sz w:val="24"/>
          <w:szCs w:val="24"/>
          <w:highlight w:val="none"/>
        </w:rPr>
        <w:t xml:space="preserve"> </w:t>
      </w:r>
      <w:bookmarkStart w:id="28" w:name="_Toc27776"/>
      <w:bookmarkStart w:id="29" w:name="_Toc29761"/>
      <w:r>
        <w:rPr>
          <w:rFonts w:hint="eastAsia" w:ascii="仿宋" w:hAnsi="仿宋" w:eastAsia="仿宋" w:cs="仿宋"/>
          <w:b/>
          <w:bCs w:val="0"/>
          <w:color w:val="auto"/>
          <w:sz w:val="24"/>
          <w:szCs w:val="24"/>
          <w:highlight w:val="none"/>
          <w:lang w:val="en-US" w:eastAsia="zh-CN"/>
        </w:rPr>
        <w:t>验收</w:t>
      </w:r>
      <w:bookmarkEnd w:id="28"/>
      <w:bookmarkEnd w:id="29"/>
    </w:p>
    <w:p>
      <w:pPr>
        <w:pStyle w:val="13"/>
        <w:keepNext w:val="0"/>
        <w:keepLines w:val="0"/>
        <w:pageBreakBefore w:val="0"/>
        <w:numPr>
          <w:ilvl w:val="0"/>
          <w:numId w:val="0"/>
        </w:numPr>
        <w:kinsoku/>
        <w:overflowPunct/>
        <w:topLinePunct w:val="0"/>
        <w:bidi w:val="0"/>
        <w:adjustRightInd/>
        <w:snapToGrid/>
        <w:spacing w:line="360" w:lineRule="auto"/>
        <w:ind w:firstLine="480" w:firstLineChars="200"/>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乙方完成服务后应及时通知甲方进行验收。验收合格的，甲方在验收合格单上签字；验收不合格的，乙方应当在7日内进行返工或调整，并重新提交甲方验收。</w:t>
      </w:r>
    </w:p>
    <w:p>
      <w:pPr>
        <w:pStyle w:val="13"/>
        <w:keepNext w:val="0"/>
        <w:keepLines w:val="0"/>
        <w:pageBreakBefore w:val="0"/>
        <w:numPr>
          <w:ilvl w:val="0"/>
          <w:numId w:val="0"/>
        </w:numPr>
        <w:kinsoku/>
        <w:overflowPunct/>
        <w:topLinePunct w:val="0"/>
        <w:bidi w:val="0"/>
        <w:adjustRightInd/>
        <w:snapToGrid/>
        <w:spacing w:line="360" w:lineRule="auto"/>
        <w:ind w:firstLine="482" w:firstLineChars="200"/>
        <w:outlineLvl w:val="1"/>
        <w:rPr>
          <w:rFonts w:hint="eastAsia" w:ascii="仿宋" w:hAnsi="仿宋" w:eastAsia="仿宋" w:cs="仿宋"/>
          <w:b/>
          <w:bCs w:val="0"/>
          <w:color w:val="auto"/>
          <w:sz w:val="24"/>
          <w:szCs w:val="24"/>
          <w:highlight w:val="none"/>
        </w:rPr>
      </w:pPr>
      <w:bookmarkStart w:id="30" w:name="_Toc19571"/>
      <w:bookmarkStart w:id="31" w:name="_Toc23750"/>
      <w:r>
        <w:rPr>
          <w:rFonts w:hint="eastAsia" w:ascii="仿宋" w:hAnsi="仿宋" w:eastAsia="仿宋" w:cs="仿宋"/>
          <w:b/>
          <w:bCs w:val="0"/>
          <w:color w:val="auto"/>
          <w:sz w:val="24"/>
          <w:szCs w:val="24"/>
          <w:highlight w:val="none"/>
        </w:rPr>
        <w:t>第七条  无产权瑕疵条款</w:t>
      </w:r>
      <w:bookmarkEnd w:id="30"/>
      <w:bookmarkEnd w:id="31"/>
    </w:p>
    <w:p>
      <w:pPr>
        <w:keepNext w:val="0"/>
        <w:keepLines w:val="0"/>
        <w:pageBreakBefore w:val="0"/>
        <w:tabs>
          <w:tab w:val="left" w:pos="1440"/>
        </w:tabs>
        <w:kinsoku/>
        <w:overflowPunct/>
        <w:topLinePunct w:val="0"/>
        <w:bidi w:val="0"/>
        <w:adjustRightInd/>
        <w:snapToGrid/>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乙方保证所提供的服务的所有权完全属于乙方且无任何抵押、查封等产权瑕疵。如有产权瑕疵的，视为乙方违约。乙方应负担由此而产生的一切损失。</w:t>
      </w:r>
    </w:p>
    <w:p>
      <w:pPr>
        <w:keepNext w:val="0"/>
        <w:keepLines w:val="0"/>
        <w:pageBreakBefore w:val="0"/>
        <w:kinsoku/>
        <w:overflowPunct/>
        <w:topLinePunct w:val="0"/>
        <w:bidi w:val="0"/>
        <w:adjustRightInd/>
        <w:snapToGrid/>
        <w:spacing w:line="360" w:lineRule="auto"/>
        <w:ind w:firstLine="482" w:firstLineChars="200"/>
        <w:textAlignment w:val="baseline"/>
        <w:outlineLvl w:val="1"/>
        <w:rPr>
          <w:rFonts w:hint="eastAsia" w:ascii="仿宋" w:hAnsi="仿宋" w:eastAsia="仿宋" w:cs="仿宋"/>
          <w:b/>
          <w:bCs w:val="0"/>
          <w:color w:val="auto"/>
          <w:sz w:val="24"/>
          <w:szCs w:val="24"/>
          <w:highlight w:val="none"/>
        </w:rPr>
      </w:pPr>
      <w:bookmarkStart w:id="32" w:name="_Toc18315"/>
      <w:bookmarkStart w:id="33" w:name="_Toc12634"/>
      <w:r>
        <w:rPr>
          <w:rFonts w:hint="eastAsia" w:ascii="仿宋" w:hAnsi="仿宋" w:eastAsia="仿宋" w:cs="仿宋"/>
          <w:b/>
          <w:bCs w:val="0"/>
          <w:color w:val="auto"/>
          <w:sz w:val="24"/>
          <w:szCs w:val="24"/>
          <w:highlight w:val="none"/>
        </w:rPr>
        <w:t>第八条  甲方的权利和义务</w:t>
      </w:r>
      <w:bookmarkEnd w:id="32"/>
      <w:bookmarkEnd w:id="33"/>
    </w:p>
    <w:p>
      <w:pPr>
        <w:keepNext w:val="0"/>
        <w:keepLines w:val="0"/>
        <w:pageBreakBefore w:val="0"/>
        <w:kinsoku/>
        <w:overflowPunct/>
        <w:topLinePunct w:val="0"/>
        <w:bidi w:val="0"/>
        <w:adjustRightInd/>
        <w:snapToGrid/>
        <w:spacing w:line="360" w:lineRule="auto"/>
        <w:ind w:firstLine="480" w:firstLineChars="200"/>
        <w:textAlignment w:val="baseline"/>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1.甲方有权对合同规定范围内乙方的服务行为进行监督和检查，拥有监管权。有权定期核对乙方提供服务所配备的人员数量。对甲方认为不合理的部分有权下达整改通知书，并要求乙方限期整改。</w:t>
      </w:r>
    </w:p>
    <w:p>
      <w:pPr>
        <w:keepNext w:val="0"/>
        <w:keepLines w:val="0"/>
        <w:pageBreakBefore w:val="0"/>
        <w:kinsoku/>
        <w:overflowPunct/>
        <w:topLinePunct w:val="0"/>
        <w:bidi w:val="0"/>
        <w:adjustRightInd/>
        <w:snapToGrid/>
        <w:spacing w:line="360" w:lineRule="auto"/>
        <w:ind w:firstLine="480" w:firstLineChars="200"/>
        <w:textAlignment w:val="baseline"/>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2.甲方有权依据双方签订的考评办法对乙方提供的服务进行定期考评。当考评结果未达到标准时，有权依据考评办法约定的数额扣除履约保证金。</w:t>
      </w:r>
    </w:p>
    <w:p>
      <w:pPr>
        <w:keepNext w:val="0"/>
        <w:keepLines w:val="0"/>
        <w:pageBreakBefore w:val="0"/>
        <w:kinsoku/>
        <w:overflowPunct/>
        <w:topLinePunct w:val="0"/>
        <w:bidi w:val="0"/>
        <w:adjustRightInd/>
        <w:snapToGrid/>
        <w:spacing w:line="360" w:lineRule="auto"/>
        <w:ind w:firstLine="480" w:firstLineChars="200"/>
        <w:textAlignment w:val="baseline"/>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3.负责检查监督乙方管理工作的实施及制度的执行情况。</w:t>
      </w:r>
    </w:p>
    <w:p>
      <w:pPr>
        <w:keepNext w:val="0"/>
        <w:keepLines w:val="0"/>
        <w:pageBreakBefore w:val="0"/>
        <w:kinsoku/>
        <w:overflowPunct/>
        <w:topLinePunct w:val="0"/>
        <w:bidi w:val="0"/>
        <w:adjustRightInd/>
        <w:snapToGrid/>
        <w:spacing w:line="360" w:lineRule="auto"/>
        <w:ind w:firstLine="480" w:firstLineChars="200"/>
        <w:textAlignment w:val="baseline"/>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4.根据本合同规定，按时向乙方支付应付服务费用。</w:t>
      </w:r>
    </w:p>
    <w:p>
      <w:pPr>
        <w:keepNext w:val="0"/>
        <w:keepLines w:val="0"/>
        <w:pageBreakBefore w:val="0"/>
        <w:kinsoku/>
        <w:overflowPunct/>
        <w:topLinePunct w:val="0"/>
        <w:bidi w:val="0"/>
        <w:adjustRightInd/>
        <w:snapToGrid/>
        <w:spacing w:line="360" w:lineRule="auto"/>
        <w:ind w:firstLine="480" w:firstLineChars="200"/>
        <w:textAlignment w:val="baseline"/>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5.国家法律、法规所规定由甲方承担的其它责任。</w:t>
      </w:r>
    </w:p>
    <w:p>
      <w:pPr>
        <w:keepNext w:val="0"/>
        <w:keepLines w:val="0"/>
        <w:pageBreakBefore w:val="0"/>
        <w:tabs>
          <w:tab w:val="left" w:pos="1379"/>
        </w:tabs>
        <w:kinsoku/>
        <w:overflowPunct/>
        <w:topLinePunct w:val="0"/>
        <w:bidi w:val="0"/>
        <w:adjustRightInd/>
        <w:snapToGrid/>
        <w:spacing w:line="360" w:lineRule="auto"/>
        <w:ind w:firstLine="482" w:firstLineChars="200"/>
        <w:outlineLvl w:val="1"/>
        <w:rPr>
          <w:rFonts w:hint="eastAsia" w:ascii="仿宋" w:hAnsi="仿宋" w:eastAsia="仿宋" w:cs="仿宋"/>
          <w:b/>
          <w:bCs w:val="0"/>
          <w:color w:val="auto"/>
          <w:sz w:val="24"/>
          <w:szCs w:val="24"/>
          <w:highlight w:val="none"/>
        </w:rPr>
      </w:pPr>
      <w:bookmarkStart w:id="34" w:name="_Toc5806"/>
      <w:r>
        <w:rPr>
          <w:rFonts w:hint="eastAsia" w:ascii="仿宋" w:hAnsi="仿宋" w:eastAsia="仿宋" w:cs="仿宋"/>
          <w:b/>
          <w:bCs w:val="0"/>
          <w:color w:val="auto"/>
          <w:sz w:val="24"/>
          <w:szCs w:val="24"/>
          <w:highlight w:val="none"/>
          <w:lang w:val="en-US" w:eastAsia="zh-CN"/>
        </w:rPr>
        <w:t>第九</w:t>
      </w:r>
      <w:r>
        <w:rPr>
          <w:rFonts w:hint="eastAsia" w:ascii="仿宋" w:hAnsi="仿宋" w:eastAsia="仿宋" w:cs="仿宋"/>
          <w:b/>
          <w:bCs w:val="0"/>
          <w:color w:val="auto"/>
          <w:sz w:val="24"/>
          <w:szCs w:val="24"/>
          <w:highlight w:val="none"/>
        </w:rPr>
        <w:t>条  乙方的权利和义务</w:t>
      </w:r>
      <w:bookmarkEnd w:id="34"/>
    </w:p>
    <w:p>
      <w:pPr>
        <w:keepNext w:val="0"/>
        <w:keepLines w:val="0"/>
        <w:pageBreakBefore w:val="0"/>
        <w:kinsoku/>
        <w:overflowPunct/>
        <w:topLinePunct w:val="0"/>
        <w:bidi w:val="0"/>
        <w:adjustRightInd/>
        <w:snapToGrid/>
        <w:spacing w:line="360" w:lineRule="auto"/>
        <w:ind w:firstLine="480" w:firstLineChars="200"/>
        <w:textAlignment w:val="baseline"/>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1.对本合同规定的委托服务范围内的项目享有管理权及服务义务。</w:t>
      </w:r>
    </w:p>
    <w:p>
      <w:pPr>
        <w:keepNext w:val="0"/>
        <w:keepLines w:val="0"/>
        <w:pageBreakBefore w:val="0"/>
        <w:kinsoku/>
        <w:overflowPunct/>
        <w:topLinePunct w:val="0"/>
        <w:bidi w:val="0"/>
        <w:adjustRightInd/>
        <w:snapToGrid/>
        <w:spacing w:line="360" w:lineRule="auto"/>
        <w:ind w:firstLine="480" w:firstLineChars="200"/>
        <w:textAlignment w:val="baseline"/>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2.根据本合同的规定向甲方收取相关服务费用，并有权在本项目管理范围内管理及合理使用。</w:t>
      </w:r>
    </w:p>
    <w:p>
      <w:pPr>
        <w:keepNext w:val="0"/>
        <w:keepLines w:val="0"/>
        <w:pageBreakBefore w:val="0"/>
        <w:kinsoku/>
        <w:overflowPunct/>
        <w:topLinePunct w:val="0"/>
        <w:bidi w:val="0"/>
        <w:adjustRightInd/>
        <w:snapToGrid/>
        <w:spacing w:line="360" w:lineRule="auto"/>
        <w:ind w:firstLine="480" w:firstLineChars="200"/>
        <w:textAlignment w:val="baseline"/>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3.及时向甲方通告本项目服务范围内有关服务的重大事项，及时配合处理投诉。</w:t>
      </w:r>
    </w:p>
    <w:p>
      <w:pPr>
        <w:keepNext w:val="0"/>
        <w:keepLines w:val="0"/>
        <w:pageBreakBefore w:val="0"/>
        <w:kinsoku/>
        <w:overflowPunct/>
        <w:topLinePunct w:val="0"/>
        <w:bidi w:val="0"/>
        <w:adjustRightInd/>
        <w:snapToGrid/>
        <w:spacing w:line="360" w:lineRule="auto"/>
        <w:ind w:firstLine="480" w:firstLineChars="200"/>
        <w:textAlignment w:val="baseline"/>
        <w:rPr>
          <w:rFonts w:hint="eastAsia" w:ascii="仿宋" w:hAnsi="仿宋" w:eastAsia="仿宋" w:cs="仿宋"/>
          <w:bCs/>
          <w:color w:val="auto"/>
          <w:sz w:val="24"/>
          <w:szCs w:val="24"/>
          <w:highlight w:val="none"/>
        </w:rPr>
      </w:pPr>
      <w:r>
        <w:rPr>
          <w:rFonts w:hint="eastAsia" w:ascii="仿宋" w:hAnsi="仿宋" w:eastAsia="仿宋" w:cs="仿宋"/>
          <w:color w:val="auto"/>
          <w:sz w:val="24"/>
          <w:szCs w:val="24"/>
          <w:highlight w:val="none"/>
        </w:rPr>
        <w:t>4.</w:t>
      </w:r>
      <w:r>
        <w:rPr>
          <w:rFonts w:hint="eastAsia" w:ascii="仿宋" w:hAnsi="仿宋" w:eastAsia="仿宋" w:cs="仿宋"/>
          <w:bCs/>
          <w:color w:val="auto"/>
          <w:sz w:val="24"/>
          <w:szCs w:val="24"/>
          <w:highlight w:val="none"/>
        </w:rPr>
        <w:t>接受项目行业管理部门及政府有关部门的指导，接受甲方的监督。</w:t>
      </w:r>
    </w:p>
    <w:p>
      <w:pPr>
        <w:keepNext w:val="0"/>
        <w:keepLines w:val="0"/>
        <w:pageBreakBefore w:val="0"/>
        <w:kinsoku/>
        <w:overflowPunct/>
        <w:topLinePunct w:val="0"/>
        <w:bidi w:val="0"/>
        <w:adjustRightInd/>
        <w:snapToGrid/>
        <w:spacing w:line="360" w:lineRule="auto"/>
        <w:ind w:firstLine="480" w:firstLineChars="200"/>
        <w:textAlignment w:val="baseline"/>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5.国家法律、法规所规定由乙方承担的其它责任。</w:t>
      </w:r>
    </w:p>
    <w:p>
      <w:pPr>
        <w:keepNext w:val="0"/>
        <w:keepLines w:val="0"/>
        <w:pageBreakBefore w:val="0"/>
        <w:tabs>
          <w:tab w:val="left" w:pos="1379"/>
        </w:tabs>
        <w:kinsoku/>
        <w:overflowPunct/>
        <w:topLinePunct w:val="0"/>
        <w:bidi w:val="0"/>
        <w:adjustRightInd/>
        <w:snapToGrid/>
        <w:spacing w:line="360" w:lineRule="auto"/>
        <w:ind w:firstLine="482" w:firstLineChars="200"/>
        <w:outlineLvl w:val="1"/>
        <w:rPr>
          <w:rFonts w:hint="eastAsia" w:ascii="仿宋" w:hAnsi="仿宋" w:eastAsia="仿宋" w:cs="仿宋"/>
          <w:b/>
          <w:bCs w:val="0"/>
          <w:color w:val="auto"/>
          <w:sz w:val="24"/>
          <w:szCs w:val="24"/>
          <w:highlight w:val="none"/>
        </w:rPr>
      </w:pPr>
      <w:bookmarkStart w:id="35" w:name="_Toc29819"/>
      <w:bookmarkStart w:id="36" w:name="_Toc17336"/>
      <w:r>
        <w:rPr>
          <w:rFonts w:hint="eastAsia" w:ascii="仿宋" w:hAnsi="仿宋" w:eastAsia="仿宋" w:cs="仿宋"/>
          <w:b/>
          <w:bCs w:val="0"/>
          <w:color w:val="auto"/>
          <w:sz w:val="24"/>
          <w:szCs w:val="24"/>
          <w:highlight w:val="none"/>
        </w:rPr>
        <w:t>第十条  违约责任</w:t>
      </w:r>
      <w:bookmarkEnd w:id="35"/>
      <w:bookmarkEnd w:id="36"/>
    </w:p>
    <w:p>
      <w:pPr>
        <w:keepNext w:val="0"/>
        <w:keepLines w:val="0"/>
        <w:pageBreakBefore w:val="0"/>
        <w:kinsoku/>
        <w:overflowPunct/>
        <w:topLinePunct w:val="0"/>
        <w:bidi w:val="0"/>
        <w:adjustRightInd/>
        <w:snapToGrid/>
        <w:spacing w:line="360" w:lineRule="auto"/>
        <w:ind w:firstLine="480" w:firstLineChars="200"/>
        <w:textAlignment w:val="baseline"/>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1.甲乙双方必须遵守本合同并执行合同中的各项规定，保证本合同的正常履行。</w:t>
      </w:r>
    </w:p>
    <w:p>
      <w:pPr>
        <w:keepNext w:val="0"/>
        <w:keepLines w:val="0"/>
        <w:pageBreakBefore w:val="0"/>
        <w:kinsoku/>
        <w:overflowPunct/>
        <w:topLinePunct w:val="0"/>
        <w:bidi w:val="0"/>
        <w:adjustRightInd/>
        <w:snapToGrid/>
        <w:spacing w:line="360" w:lineRule="auto"/>
        <w:ind w:firstLine="480" w:firstLineChars="200"/>
        <w:textAlignment w:val="baseline"/>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2.依据《中华人民共和国民法典》《中华人民共和国政府采购法》的相关条款规定和本合同约定，乙方未全面履行合同义务或者发生违约，甲方有权终止合同，依法向乙方进行经济索赔，并报请政府采购监督管理机关依法进行相应的行政处罚。甲方违约的，应当赔偿给乙方造成的经济损失。</w:t>
      </w:r>
    </w:p>
    <w:p>
      <w:pPr>
        <w:keepNext w:val="0"/>
        <w:keepLines w:val="0"/>
        <w:pageBreakBefore w:val="0"/>
        <w:tabs>
          <w:tab w:val="left" w:pos="1379"/>
        </w:tabs>
        <w:kinsoku/>
        <w:overflowPunct/>
        <w:topLinePunct w:val="0"/>
        <w:bidi w:val="0"/>
        <w:adjustRightInd/>
        <w:snapToGrid/>
        <w:spacing w:line="360" w:lineRule="auto"/>
        <w:ind w:firstLine="482" w:firstLineChars="200"/>
        <w:outlineLvl w:val="1"/>
        <w:rPr>
          <w:rFonts w:hint="eastAsia" w:ascii="仿宋" w:hAnsi="仿宋" w:eastAsia="仿宋" w:cs="仿宋"/>
          <w:b/>
          <w:bCs w:val="0"/>
          <w:color w:val="auto"/>
          <w:sz w:val="24"/>
          <w:szCs w:val="24"/>
          <w:highlight w:val="none"/>
        </w:rPr>
      </w:pPr>
      <w:bookmarkStart w:id="37" w:name="_Toc18652"/>
      <w:bookmarkStart w:id="38" w:name="_Toc20912"/>
      <w:r>
        <w:rPr>
          <w:rFonts w:hint="eastAsia" w:ascii="仿宋" w:hAnsi="仿宋" w:eastAsia="仿宋" w:cs="仿宋"/>
          <w:b/>
          <w:bCs w:val="0"/>
          <w:color w:val="auto"/>
          <w:sz w:val="24"/>
          <w:szCs w:val="24"/>
          <w:highlight w:val="none"/>
        </w:rPr>
        <w:t>第十</w:t>
      </w:r>
      <w:r>
        <w:rPr>
          <w:rFonts w:hint="eastAsia" w:ascii="仿宋" w:hAnsi="仿宋" w:eastAsia="仿宋" w:cs="仿宋"/>
          <w:b/>
          <w:bCs w:val="0"/>
          <w:color w:val="auto"/>
          <w:sz w:val="24"/>
          <w:szCs w:val="24"/>
          <w:highlight w:val="none"/>
          <w:lang w:val="en-US" w:eastAsia="zh-CN"/>
        </w:rPr>
        <w:t>一</w:t>
      </w:r>
      <w:r>
        <w:rPr>
          <w:rFonts w:hint="eastAsia" w:ascii="仿宋" w:hAnsi="仿宋" w:eastAsia="仿宋" w:cs="仿宋"/>
          <w:b/>
          <w:bCs w:val="0"/>
          <w:color w:val="auto"/>
          <w:sz w:val="24"/>
          <w:szCs w:val="24"/>
          <w:highlight w:val="none"/>
        </w:rPr>
        <w:t>条  不可抗力事件处理</w:t>
      </w:r>
      <w:bookmarkEnd w:id="37"/>
      <w:bookmarkEnd w:id="38"/>
    </w:p>
    <w:p>
      <w:pPr>
        <w:keepNext w:val="0"/>
        <w:keepLines w:val="0"/>
        <w:pageBreakBefore w:val="0"/>
        <w:tabs>
          <w:tab w:val="left" w:pos="0"/>
        </w:tabs>
        <w:kinsoku/>
        <w:overflowPunct/>
        <w:topLinePunct w:val="0"/>
        <w:bidi w:val="0"/>
        <w:adjustRightInd/>
        <w:snapToGrid/>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1.在合同有效期内，任何一方因不可抗力事件导致不能履行合同，则合同履行期可延长，其延长期与不可抗力影响期相同。</w:t>
      </w:r>
    </w:p>
    <w:p>
      <w:pPr>
        <w:keepNext w:val="0"/>
        <w:keepLines w:val="0"/>
        <w:pageBreakBefore w:val="0"/>
        <w:tabs>
          <w:tab w:val="left" w:pos="0"/>
        </w:tabs>
        <w:kinsoku/>
        <w:overflowPunct/>
        <w:topLinePunct w:val="0"/>
        <w:bidi w:val="0"/>
        <w:adjustRightInd/>
        <w:snapToGrid/>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2.不可抗力事件发生后，应立即通知对方，并寄送有关权威机构出具的证明。</w:t>
      </w:r>
    </w:p>
    <w:p>
      <w:pPr>
        <w:keepNext w:val="0"/>
        <w:keepLines w:val="0"/>
        <w:pageBreakBefore w:val="0"/>
        <w:tabs>
          <w:tab w:val="left" w:pos="0"/>
        </w:tabs>
        <w:kinsoku/>
        <w:overflowPunct/>
        <w:topLinePunct w:val="0"/>
        <w:bidi w:val="0"/>
        <w:adjustRightInd/>
        <w:snapToGrid/>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3.不可抗力事件延续</w:t>
      </w:r>
      <w:r>
        <w:rPr>
          <w:rFonts w:hint="eastAsia" w:ascii="仿宋" w:hAnsi="仿宋" w:eastAsia="仿宋" w:cs="仿宋"/>
          <w:color w:val="auto"/>
          <w:sz w:val="24"/>
          <w:szCs w:val="24"/>
          <w:highlight w:val="none"/>
          <w:lang w:val="en-US" w:eastAsia="zh-CN"/>
        </w:rPr>
        <w:t>30</w:t>
      </w:r>
      <w:r>
        <w:rPr>
          <w:rFonts w:hint="eastAsia" w:ascii="仿宋" w:hAnsi="仿宋" w:eastAsia="仿宋" w:cs="仿宋"/>
          <w:color w:val="auto"/>
          <w:sz w:val="24"/>
          <w:szCs w:val="24"/>
          <w:highlight w:val="none"/>
        </w:rPr>
        <w:t>天以上，双方应通过友好协商，确定是否继续履行合同。</w:t>
      </w:r>
    </w:p>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p>
      <w:pPr>
        <w:keepNext w:val="0"/>
        <w:keepLines w:val="0"/>
        <w:pageBreakBefore w:val="0"/>
        <w:tabs>
          <w:tab w:val="left" w:pos="1379"/>
        </w:tabs>
        <w:kinsoku/>
        <w:overflowPunct/>
        <w:topLinePunct w:val="0"/>
        <w:bidi w:val="0"/>
        <w:adjustRightInd/>
        <w:snapToGrid/>
        <w:spacing w:line="360" w:lineRule="auto"/>
        <w:ind w:firstLine="482" w:firstLineChars="200"/>
        <w:outlineLvl w:val="1"/>
        <w:rPr>
          <w:rFonts w:hint="eastAsia" w:ascii="仿宋" w:hAnsi="仿宋" w:eastAsia="仿宋" w:cs="仿宋"/>
          <w:b/>
          <w:bCs w:val="0"/>
          <w:color w:val="auto"/>
          <w:sz w:val="24"/>
          <w:szCs w:val="24"/>
          <w:highlight w:val="none"/>
        </w:rPr>
      </w:pPr>
      <w:bookmarkStart w:id="39" w:name="_Toc6795"/>
      <w:bookmarkStart w:id="40" w:name="_Toc13911"/>
      <w:bookmarkStart w:id="41" w:name="_Toc251768867"/>
      <w:bookmarkStart w:id="42" w:name="_Toc239568423"/>
      <w:bookmarkStart w:id="43" w:name="_Toc185395254"/>
      <w:bookmarkStart w:id="44" w:name="_Toc237145411"/>
      <w:bookmarkStart w:id="45" w:name="_Toc211854454"/>
      <w:bookmarkStart w:id="46" w:name="_Toc239233919"/>
      <w:bookmarkStart w:id="47" w:name="_Toc238984980"/>
      <w:bookmarkStart w:id="48" w:name="_Toc286993792"/>
      <w:bookmarkStart w:id="49" w:name="_Toc225654649"/>
      <w:bookmarkStart w:id="50" w:name="_Toc211911353"/>
      <w:bookmarkStart w:id="51" w:name="_Toc247334846"/>
      <w:bookmarkStart w:id="52" w:name="_Toc212019599"/>
      <w:bookmarkStart w:id="53" w:name="_Toc225670756"/>
      <w:bookmarkStart w:id="54" w:name="_Toc225244857"/>
      <w:bookmarkStart w:id="55" w:name="_Toc232492933"/>
      <w:bookmarkStart w:id="56" w:name="_Toc241833908"/>
      <w:r>
        <w:rPr>
          <w:rFonts w:hint="eastAsia" w:ascii="仿宋" w:hAnsi="仿宋" w:eastAsia="仿宋" w:cs="仿宋"/>
          <w:b/>
          <w:bCs w:val="0"/>
          <w:color w:val="auto"/>
          <w:sz w:val="24"/>
          <w:szCs w:val="24"/>
          <w:highlight w:val="none"/>
        </w:rPr>
        <w:t>第十</w:t>
      </w:r>
      <w:r>
        <w:rPr>
          <w:rFonts w:hint="eastAsia" w:ascii="仿宋" w:hAnsi="仿宋" w:eastAsia="仿宋" w:cs="仿宋"/>
          <w:b/>
          <w:bCs w:val="0"/>
          <w:color w:val="auto"/>
          <w:sz w:val="24"/>
          <w:szCs w:val="24"/>
          <w:highlight w:val="none"/>
          <w:lang w:val="en-US" w:eastAsia="zh-CN"/>
        </w:rPr>
        <w:t>二</w:t>
      </w:r>
      <w:r>
        <w:rPr>
          <w:rFonts w:hint="eastAsia" w:ascii="仿宋" w:hAnsi="仿宋" w:eastAsia="仿宋" w:cs="仿宋"/>
          <w:b/>
          <w:bCs w:val="0"/>
          <w:color w:val="auto"/>
          <w:sz w:val="24"/>
          <w:szCs w:val="24"/>
          <w:highlight w:val="none"/>
        </w:rPr>
        <w:t>条  合同的变更和终止</w:t>
      </w:r>
      <w:bookmarkEnd w:id="39"/>
      <w:bookmarkEnd w:id="40"/>
    </w:p>
    <w:p>
      <w:pPr>
        <w:keepNext w:val="0"/>
        <w:keepLines w:val="0"/>
        <w:pageBreakBefore w:val="0"/>
        <w:kinsoku/>
        <w:overflowPunct/>
        <w:topLinePunct w:val="0"/>
        <w:bidi w:val="0"/>
        <w:adjustRightInd/>
        <w:snapToGrid/>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除《中华人民共和国政府采购法》第49条、第50条第二款规定的情形外，本合同一经签订，甲乙双方不得擅自变更、中止或终止合同。</w:t>
      </w:r>
    </w:p>
    <w:p>
      <w:pPr>
        <w:keepNext w:val="0"/>
        <w:keepLines w:val="0"/>
        <w:pageBreakBefore w:val="0"/>
        <w:tabs>
          <w:tab w:val="left" w:pos="1379"/>
        </w:tabs>
        <w:kinsoku/>
        <w:overflowPunct/>
        <w:topLinePunct w:val="0"/>
        <w:bidi w:val="0"/>
        <w:adjustRightInd/>
        <w:snapToGrid/>
        <w:spacing w:line="360" w:lineRule="auto"/>
        <w:ind w:firstLine="482" w:firstLineChars="200"/>
        <w:outlineLvl w:val="1"/>
        <w:rPr>
          <w:rFonts w:hint="eastAsia" w:ascii="仿宋" w:hAnsi="仿宋" w:eastAsia="仿宋" w:cs="仿宋"/>
          <w:b/>
          <w:bCs w:val="0"/>
          <w:color w:val="auto"/>
          <w:sz w:val="24"/>
          <w:szCs w:val="24"/>
          <w:highlight w:val="none"/>
          <w:lang w:val="en-US" w:eastAsia="zh-CN"/>
        </w:rPr>
      </w:pPr>
      <w:bookmarkStart w:id="57" w:name="_Toc5821"/>
      <w:bookmarkStart w:id="58" w:name="_Toc9175"/>
      <w:r>
        <w:rPr>
          <w:rFonts w:hint="eastAsia" w:ascii="仿宋" w:hAnsi="仿宋" w:eastAsia="仿宋" w:cs="仿宋"/>
          <w:b/>
          <w:bCs w:val="0"/>
          <w:color w:val="auto"/>
          <w:sz w:val="24"/>
          <w:szCs w:val="24"/>
          <w:highlight w:val="none"/>
        </w:rPr>
        <w:t>第十</w:t>
      </w:r>
      <w:r>
        <w:rPr>
          <w:rFonts w:hint="eastAsia" w:ascii="仿宋" w:hAnsi="仿宋" w:eastAsia="仿宋" w:cs="仿宋"/>
          <w:b/>
          <w:bCs w:val="0"/>
          <w:color w:val="auto"/>
          <w:sz w:val="24"/>
          <w:szCs w:val="24"/>
          <w:highlight w:val="none"/>
          <w:lang w:val="en-US" w:eastAsia="zh-CN"/>
        </w:rPr>
        <w:t>三</w:t>
      </w:r>
      <w:r>
        <w:rPr>
          <w:rFonts w:hint="eastAsia" w:ascii="仿宋" w:hAnsi="仿宋" w:eastAsia="仿宋" w:cs="仿宋"/>
          <w:b/>
          <w:bCs w:val="0"/>
          <w:color w:val="auto"/>
          <w:sz w:val="24"/>
          <w:szCs w:val="24"/>
          <w:highlight w:val="none"/>
        </w:rPr>
        <w:t xml:space="preserve">条  </w:t>
      </w:r>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r>
        <w:rPr>
          <w:rFonts w:hint="eastAsia" w:ascii="仿宋" w:hAnsi="仿宋" w:eastAsia="仿宋" w:cs="仿宋"/>
          <w:b/>
          <w:bCs w:val="0"/>
          <w:color w:val="auto"/>
          <w:sz w:val="24"/>
          <w:szCs w:val="24"/>
          <w:highlight w:val="none"/>
          <w:lang w:val="en-US" w:eastAsia="zh-CN"/>
        </w:rPr>
        <w:t>争议解决条款</w:t>
      </w:r>
      <w:bookmarkEnd w:id="57"/>
      <w:bookmarkEnd w:id="58"/>
    </w:p>
    <w:p>
      <w:pPr>
        <w:pStyle w:val="13"/>
        <w:keepNext w:val="0"/>
        <w:keepLines w:val="0"/>
        <w:pageBreakBefore w:val="0"/>
        <w:kinsoku/>
        <w:overflowPunct/>
        <w:topLinePunct w:val="0"/>
        <w:bidi w:val="0"/>
        <w:adjustRightInd/>
        <w:snapToGrid/>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在执行本合同中发生的或与本合同有关的争端，双方应通过友好协商解决，经协商在</w:t>
      </w:r>
      <w:r>
        <w:rPr>
          <w:rFonts w:hint="eastAsia" w:ascii="仿宋" w:hAnsi="仿宋" w:eastAsia="仿宋" w:cs="仿宋"/>
          <w:color w:val="auto"/>
          <w:sz w:val="24"/>
          <w:szCs w:val="24"/>
          <w:highlight w:val="none"/>
          <w:lang w:val="en-US" w:eastAsia="zh-CN"/>
        </w:rPr>
        <w:t>7</w:t>
      </w:r>
      <w:r>
        <w:rPr>
          <w:rFonts w:hint="eastAsia" w:ascii="仿宋" w:hAnsi="仿宋" w:eastAsia="仿宋" w:cs="仿宋"/>
          <w:color w:val="auto"/>
          <w:sz w:val="24"/>
          <w:szCs w:val="24"/>
          <w:highlight w:val="none"/>
        </w:rPr>
        <w:t>天内不能达成协议时，则采取：向甲方所在地有管辖权的人民法院提起诉讼；</w:t>
      </w:r>
    </w:p>
    <w:p>
      <w:pPr>
        <w:keepNext w:val="0"/>
        <w:keepLines w:val="0"/>
        <w:pageBreakBefore w:val="0"/>
        <w:tabs>
          <w:tab w:val="left" w:pos="1379"/>
        </w:tabs>
        <w:kinsoku/>
        <w:overflowPunct/>
        <w:topLinePunct w:val="0"/>
        <w:bidi w:val="0"/>
        <w:adjustRightInd/>
        <w:snapToGrid/>
        <w:spacing w:line="360" w:lineRule="auto"/>
        <w:ind w:firstLine="482" w:firstLineChars="200"/>
        <w:outlineLvl w:val="1"/>
        <w:rPr>
          <w:rFonts w:hint="eastAsia" w:ascii="仿宋" w:hAnsi="仿宋" w:eastAsia="仿宋" w:cs="仿宋"/>
          <w:b/>
          <w:bCs w:val="0"/>
          <w:color w:val="auto"/>
          <w:sz w:val="24"/>
          <w:szCs w:val="24"/>
          <w:highlight w:val="none"/>
        </w:rPr>
      </w:pPr>
      <w:bookmarkStart w:id="59" w:name="_Toc241833909"/>
      <w:bookmarkStart w:id="60" w:name="_Toc185395255"/>
      <w:bookmarkStart w:id="61" w:name="_Toc225654650"/>
      <w:bookmarkStart w:id="62" w:name="_Toc237145412"/>
      <w:bookmarkStart w:id="63" w:name="_Toc225670757"/>
      <w:bookmarkStart w:id="64" w:name="_Toc212019600"/>
      <w:bookmarkStart w:id="65" w:name="_Toc283019219"/>
      <w:bookmarkStart w:id="66" w:name="_Toc239568424"/>
      <w:bookmarkStart w:id="67" w:name="_Toc232492934"/>
      <w:bookmarkStart w:id="68" w:name="_Toc225244858"/>
      <w:bookmarkStart w:id="69" w:name="_Toc282696231"/>
      <w:bookmarkStart w:id="70" w:name="_Toc286993793"/>
      <w:bookmarkStart w:id="71" w:name="_Toc239233920"/>
      <w:bookmarkStart w:id="72" w:name="_Toc251768868"/>
      <w:bookmarkStart w:id="73" w:name="_Toc211854455"/>
      <w:bookmarkStart w:id="74" w:name="_Toc247334847"/>
      <w:bookmarkStart w:id="75" w:name="_Toc211911354"/>
      <w:bookmarkStart w:id="76" w:name="_Toc238984981"/>
      <w:bookmarkStart w:id="77" w:name="_Toc233"/>
      <w:bookmarkStart w:id="78" w:name="_Toc26582"/>
      <w:r>
        <w:rPr>
          <w:rFonts w:hint="eastAsia" w:ascii="仿宋" w:hAnsi="仿宋" w:eastAsia="仿宋" w:cs="仿宋"/>
          <w:b/>
          <w:bCs w:val="0"/>
          <w:color w:val="auto"/>
          <w:sz w:val="24"/>
          <w:szCs w:val="24"/>
          <w:highlight w:val="none"/>
        </w:rPr>
        <w:t>第十四条  合同</w:t>
      </w:r>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r>
        <w:rPr>
          <w:rFonts w:hint="eastAsia" w:ascii="仿宋" w:hAnsi="仿宋" w:eastAsia="仿宋" w:cs="仿宋"/>
          <w:b/>
          <w:bCs w:val="0"/>
          <w:color w:val="auto"/>
          <w:sz w:val="24"/>
          <w:szCs w:val="24"/>
          <w:highlight w:val="none"/>
        </w:rPr>
        <w:t>生效及其他</w:t>
      </w:r>
      <w:bookmarkEnd w:id="77"/>
      <w:bookmarkEnd w:id="78"/>
    </w:p>
    <w:p>
      <w:pPr>
        <w:pStyle w:val="14"/>
        <w:keepNext w:val="0"/>
        <w:keepLines w:val="0"/>
        <w:pageBreakBefore w:val="0"/>
        <w:kinsoku/>
        <w:overflowPunct/>
        <w:topLinePunct w:val="0"/>
        <w:bidi w:val="0"/>
        <w:adjustRightInd/>
        <w:snapToGrid/>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1.合同经双方法定代表人或授权委托代理人签字并加盖单位公章后生效。</w:t>
      </w:r>
    </w:p>
    <w:p>
      <w:pPr>
        <w:pStyle w:val="14"/>
        <w:keepNext w:val="0"/>
        <w:keepLines w:val="0"/>
        <w:pageBreakBefore w:val="0"/>
        <w:kinsoku/>
        <w:overflowPunct/>
        <w:topLinePunct w:val="0"/>
        <w:bidi w:val="0"/>
        <w:adjustRightInd/>
        <w:snapToGrid/>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2.合同执行中涉及采购资金和采购内容修改或补充的，须经政府采购监管部门审批，并签书面补充协议报政府采购监督管理部门备案，方可作为主合同不可分割的一部分。</w:t>
      </w:r>
    </w:p>
    <w:p>
      <w:pPr>
        <w:pStyle w:val="14"/>
        <w:keepNext w:val="0"/>
        <w:keepLines w:val="0"/>
        <w:pageBreakBefore w:val="0"/>
        <w:kinsoku/>
        <w:overflowPunct/>
        <w:topLinePunct w:val="0"/>
        <w:bidi w:val="0"/>
        <w:adjustRightInd/>
        <w:snapToGrid/>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3.本合同一式</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rPr>
        <w:t>份，自双方签章之日起</w:t>
      </w:r>
      <w:r>
        <w:rPr>
          <w:rFonts w:hint="eastAsia" w:ascii="仿宋" w:hAnsi="仿宋" w:eastAsia="仿宋" w:cs="仿宋"/>
          <w:color w:val="auto"/>
          <w:sz w:val="24"/>
          <w:szCs w:val="24"/>
          <w:highlight w:val="none"/>
          <w:lang w:eastAsia="zh-CN"/>
        </w:rPr>
        <w:t>生效</w:t>
      </w:r>
      <w:r>
        <w:rPr>
          <w:rFonts w:hint="eastAsia" w:ascii="仿宋" w:hAnsi="仿宋" w:eastAsia="仿宋" w:cs="仿宋"/>
          <w:color w:val="auto"/>
          <w:sz w:val="24"/>
          <w:szCs w:val="24"/>
          <w:highlight w:val="none"/>
        </w:rPr>
        <w:t>。甲方</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rPr>
        <w:t>份，乙方</w:t>
      </w:r>
      <w:r>
        <w:rPr>
          <w:rFonts w:hint="eastAsia" w:ascii="仿宋" w:hAnsi="仿宋" w:eastAsia="仿宋" w:cs="仿宋"/>
          <w:i/>
          <w:iCs/>
          <w:color w:val="auto"/>
          <w:sz w:val="24"/>
          <w:szCs w:val="24"/>
          <w:highlight w:val="none"/>
          <w:u w:val="single"/>
          <w:lang w:val="en-US" w:eastAsia="zh-CN"/>
        </w:rPr>
        <w:t xml:space="preserve">     </w:t>
      </w:r>
      <w:r>
        <w:rPr>
          <w:rFonts w:hint="eastAsia" w:ascii="仿宋" w:hAnsi="仿宋" w:eastAsia="仿宋" w:cs="仿宋"/>
          <w:color w:val="auto"/>
          <w:sz w:val="24"/>
          <w:szCs w:val="24"/>
          <w:highlight w:val="none"/>
        </w:rPr>
        <w:t>份</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具有同等法律效力。</w:t>
      </w:r>
    </w:p>
    <w:p>
      <w:pPr>
        <w:keepNext w:val="0"/>
        <w:keepLines w:val="0"/>
        <w:pageBreakBefore w:val="0"/>
        <w:tabs>
          <w:tab w:val="left" w:pos="1379"/>
        </w:tabs>
        <w:kinsoku/>
        <w:overflowPunct/>
        <w:topLinePunct w:val="0"/>
        <w:bidi w:val="0"/>
        <w:adjustRightInd/>
        <w:snapToGrid/>
        <w:spacing w:line="360" w:lineRule="auto"/>
        <w:ind w:firstLine="482" w:firstLineChars="200"/>
        <w:outlineLvl w:val="1"/>
        <w:rPr>
          <w:rFonts w:hint="eastAsia" w:ascii="仿宋" w:hAnsi="仿宋" w:eastAsia="仿宋" w:cs="仿宋"/>
          <w:b/>
          <w:bCs w:val="0"/>
          <w:color w:val="auto"/>
          <w:sz w:val="24"/>
          <w:szCs w:val="24"/>
          <w:highlight w:val="none"/>
        </w:rPr>
      </w:pPr>
      <w:bookmarkStart w:id="79" w:name="_Toc11106"/>
      <w:bookmarkStart w:id="80" w:name="_Toc15608"/>
      <w:r>
        <w:rPr>
          <w:rFonts w:hint="eastAsia" w:ascii="仿宋" w:hAnsi="仿宋" w:eastAsia="仿宋" w:cs="仿宋"/>
          <w:b/>
          <w:bCs w:val="0"/>
          <w:color w:val="auto"/>
          <w:sz w:val="24"/>
          <w:szCs w:val="24"/>
          <w:highlight w:val="none"/>
        </w:rPr>
        <w:t>第十五条  附件</w:t>
      </w:r>
      <w:bookmarkEnd w:id="79"/>
      <w:bookmarkEnd w:id="80"/>
    </w:p>
    <w:p>
      <w:pPr>
        <w:pStyle w:val="14"/>
        <w:keepNext w:val="0"/>
        <w:keepLines w:val="0"/>
        <w:pageBreakBefore w:val="0"/>
        <w:kinsoku/>
        <w:overflowPunct/>
        <w:topLinePunct w:val="0"/>
        <w:bidi w:val="0"/>
        <w:adjustRightInd/>
        <w:snapToGrid/>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1.项目竞争性磋商文件</w:t>
      </w:r>
    </w:p>
    <w:p>
      <w:pPr>
        <w:pStyle w:val="14"/>
        <w:keepNext w:val="0"/>
        <w:keepLines w:val="0"/>
        <w:pageBreakBefore w:val="0"/>
        <w:kinsoku/>
        <w:overflowPunct/>
        <w:topLinePunct w:val="0"/>
        <w:bidi w:val="0"/>
        <w:adjustRightInd/>
        <w:snapToGrid/>
        <w:spacing w:line="360" w:lineRule="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rPr>
        <w:t>2.项目修改澄清文件</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若有</w:t>
      </w:r>
      <w:r>
        <w:rPr>
          <w:rFonts w:hint="eastAsia" w:ascii="仿宋" w:hAnsi="仿宋" w:eastAsia="仿宋" w:cs="仿宋"/>
          <w:color w:val="auto"/>
          <w:sz w:val="24"/>
          <w:szCs w:val="24"/>
          <w:highlight w:val="none"/>
          <w:lang w:eastAsia="zh-CN"/>
        </w:rPr>
        <w:t>）</w:t>
      </w:r>
    </w:p>
    <w:p>
      <w:pPr>
        <w:pStyle w:val="14"/>
        <w:keepNext w:val="0"/>
        <w:keepLines w:val="0"/>
        <w:pageBreakBefore w:val="0"/>
        <w:kinsoku/>
        <w:overflowPunct/>
        <w:topLinePunct w:val="0"/>
        <w:bidi w:val="0"/>
        <w:adjustRightInd/>
        <w:snapToGrid/>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3.项目响应文件</w:t>
      </w:r>
    </w:p>
    <w:p>
      <w:pPr>
        <w:pStyle w:val="14"/>
        <w:keepNext w:val="0"/>
        <w:keepLines w:val="0"/>
        <w:pageBreakBefore w:val="0"/>
        <w:kinsoku/>
        <w:overflowPunct/>
        <w:topLinePunct w:val="0"/>
        <w:bidi w:val="0"/>
        <w:adjustRightInd/>
        <w:snapToGrid/>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4.成交通知书</w:t>
      </w:r>
    </w:p>
    <w:p>
      <w:pPr>
        <w:pStyle w:val="14"/>
        <w:keepNext w:val="0"/>
        <w:keepLines w:val="0"/>
        <w:pageBreakBefore w:val="0"/>
        <w:kinsoku/>
        <w:overflowPunct/>
        <w:topLinePunct w:val="0"/>
        <w:bidi w:val="0"/>
        <w:adjustRightInd/>
        <w:snapToGrid/>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5.其他</w:t>
      </w:r>
    </w:p>
    <w:p>
      <w:pPr>
        <w:spacing w:line="360" w:lineRule="auto"/>
        <w:ind w:firstLine="480" w:firstLineChars="200"/>
        <w:rPr>
          <w:rFonts w:hint="eastAsia" w:ascii="仿宋" w:hAnsi="仿宋" w:eastAsia="仿宋" w:cs="仿宋"/>
          <w:color w:val="auto"/>
          <w:sz w:val="24"/>
          <w:szCs w:val="24"/>
          <w:highlight w:val="none"/>
        </w:rPr>
      </w:pPr>
    </w:p>
    <w:p>
      <w:pPr>
        <w:spacing w:line="360" w:lineRule="auto"/>
        <w:ind w:firstLine="480" w:firstLineChars="200"/>
        <w:rPr>
          <w:rFonts w:hint="eastAsia" w:ascii="仿宋" w:hAnsi="仿宋" w:eastAsia="仿宋" w:cs="仿宋"/>
          <w:color w:val="auto"/>
          <w:sz w:val="24"/>
          <w:szCs w:val="24"/>
          <w:highlight w:val="none"/>
        </w:rPr>
      </w:pPr>
    </w:p>
    <w:p>
      <w:pPr>
        <w:spacing w:line="360" w:lineRule="auto"/>
        <w:ind w:firstLine="480" w:firstLineChars="200"/>
        <w:rPr>
          <w:rFonts w:hint="eastAsia" w:ascii="仿宋" w:hAnsi="仿宋" w:eastAsia="仿宋" w:cs="仿宋"/>
          <w:color w:val="auto"/>
          <w:sz w:val="24"/>
          <w:szCs w:val="24"/>
          <w:highlight w:val="none"/>
        </w:rPr>
      </w:pPr>
    </w:p>
    <w:p>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甲     方：（</w:t>
      </w:r>
      <w:r>
        <w:rPr>
          <w:rFonts w:hint="eastAsia" w:ascii="仿宋" w:hAnsi="仿宋" w:eastAsia="仿宋" w:cs="仿宋"/>
          <w:color w:val="auto"/>
          <w:sz w:val="24"/>
          <w:szCs w:val="24"/>
          <w:highlight w:val="none"/>
          <w:lang w:val="en-US" w:eastAsia="zh-CN"/>
        </w:rPr>
        <w:t>公</w:t>
      </w:r>
      <w:r>
        <w:rPr>
          <w:rFonts w:hint="eastAsia" w:ascii="仿宋" w:hAnsi="仿宋" w:eastAsia="仿宋" w:cs="仿宋"/>
          <w:color w:val="auto"/>
          <w:sz w:val="24"/>
          <w:szCs w:val="24"/>
          <w:highlight w:val="none"/>
        </w:rPr>
        <w:t xml:space="preserve">章）   </w:t>
      </w:r>
      <w:r>
        <w:rPr>
          <w:rFonts w:hint="eastAsia" w:ascii="仿宋" w:hAnsi="仿宋" w:eastAsia="仿宋" w:cs="仿宋"/>
          <w:color w:val="auto"/>
          <w:sz w:val="24"/>
          <w:szCs w:val="24"/>
          <w:highlight w:val="none"/>
        </w:rPr>
        <w:tab/>
      </w:r>
      <w:r>
        <w:rPr>
          <w:rFonts w:hint="eastAsia" w:ascii="仿宋" w:hAnsi="仿宋" w:eastAsia="仿宋" w:cs="仿宋"/>
          <w:color w:val="auto"/>
          <w:sz w:val="24"/>
          <w:szCs w:val="24"/>
          <w:highlight w:val="none"/>
        </w:rPr>
        <w:tab/>
      </w:r>
      <w:r>
        <w:rPr>
          <w:rFonts w:hint="eastAsia" w:ascii="仿宋" w:hAnsi="仿宋" w:eastAsia="仿宋" w:cs="仿宋"/>
          <w:color w:val="auto"/>
          <w:sz w:val="24"/>
          <w:szCs w:val="24"/>
          <w:highlight w:val="none"/>
        </w:rPr>
        <w:tab/>
      </w:r>
      <w:r>
        <w:rPr>
          <w:rFonts w:hint="eastAsia" w:ascii="仿宋" w:hAnsi="仿宋" w:eastAsia="仿宋" w:cs="仿宋"/>
          <w:color w:val="auto"/>
          <w:sz w:val="24"/>
          <w:szCs w:val="24"/>
          <w:highlight w:val="none"/>
        </w:rPr>
        <w:t xml:space="preserve"> 乙    方：   （</w:t>
      </w:r>
      <w:r>
        <w:rPr>
          <w:rFonts w:hint="eastAsia" w:ascii="仿宋" w:hAnsi="仿宋" w:eastAsia="仿宋" w:cs="仿宋"/>
          <w:color w:val="auto"/>
          <w:sz w:val="24"/>
          <w:szCs w:val="24"/>
          <w:highlight w:val="none"/>
          <w:lang w:val="en-US" w:eastAsia="zh-CN"/>
        </w:rPr>
        <w:t>公</w:t>
      </w:r>
      <w:r>
        <w:rPr>
          <w:rFonts w:hint="eastAsia" w:ascii="仿宋" w:hAnsi="仿宋" w:eastAsia="仿宋" w:cs="仿宋"/>
          <w:color w:val="auto"/>
          <w:sz w:val="24"/>
          <w:szCs w:val="24"/>
          <w:highlight w:val="none"/>
        </w:rPr>
        <w:t>章）</w:t>
      </w:r>
    </w:p>
    <w:p>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法定代表人（委托代理人）：       法定代表人（委托代理人）：</w:t>
      </w:r>
    </w:p>
    <w:p>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地    址：                      地    址：</w:t>
      </w:r>
    </w:p>
    <w:p>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开户银行：                      开户银行：</w:t>
      </w:r>
    </w:p>
    <w:p>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账    号：</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账    号：</w:t>
      </w:r>
    </w:p>
    <w:p>
      <w:pPr>
        <w:spacing w:line="360" w:lineRule="auto"/>
        <w:ind w:firstLine="480" w:firstLineChars="20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纳税人识别号：</w:t>
      </w:r>
      <w:r>
        <w:rPr>
          <w:rFonts w:hint="eastAsia" w:ascii="仿宋" w:hAnsi="仿宋" w:eastAsia="仿宋" w:cs="仿宋"/>
          <w:color w:val="auto"/>
          <w:sz w:val="24"/>
          <w:szCs w:val="24"/>
          <w:highlight w:val="none"/>
        </w:rPr>
        <w:t xml:space="preserve">                  </w:t>
      </w:r>
      <w:r>
        <w:rPr>
          <w:rFonts w:hint="eastAsia" w:ascii="仿宋" w:hAnsi="仿宋" w:eastAsia="仿宋" w:cs="仿宋"/>
          <w:color w:val="auto"/>
          <w:sz w:val="24"/>
          <w:szCs w:val="24"/>
          <w:highlight w:val="none"/>
          <w:lang w:val="en-US" w:eastAsia="zh-CN"/>
        </w:rPr>
        <w:t>纳税人识别号：</w:t>
      </w:r>
    </w:p>
    <w:p>
      <w:pPr>
        <w:spacing w:line="360" w:lineRule="auto"/>
        <w:ind w:firstLine="240" w:firstLineChars="1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电    话：                      电    话：</w:t>
      </w:r>
    </w:p>
    <w:p>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传    真：                      传    真：</w:t>
      </w:r>
    </w:p>
    <w:p>
      <w:pPr>
        <w:pStyle w:val="3"/>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日</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期：</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年</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月</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 xml:space="preserve">日 </w:t>
      </w:r>
      <w:r>
        <w:rPr>
          <w:rFonts w:hint="eastAsia" w:ascii="仿宋" w:hAnsi="仿宋" w:eastAsia="仿宋" w:cs="仿宋"/>
          <w:color w:val="auto"/>
          <w:sz w:val="24"/>
          <w:szCs w:val="24"/>
          <w:highlight w:val="none"/>
        </w:rPr>
        <w:tab/>
      </w:r>
      <w:r>
        <w:rPr>
          <w:rFonts w:hint="eastAsia" w:ascii="仿宋" w:hAnsi="仿宋" w:eastAsia="仿宋" w:cs="仿宋"/>
          <w:color w:val="auto"/>
          <w:sz w:val="24"/>
          <w:szCs w:val="24"/>
          <w:highlight w:val="none"/>
        </w:rPr>
        <w:t xml:space="preserve">   </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日</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期：</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年</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月</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日</w:t>
      </w:r>
    </w:p>
    <w:p>
      <w:pPr>
        <w:pStyle w:val="3"/>
        <w:spacing w:line="360" w:lineRule="auto"/>
        <w:ind w:firstLine="480" w:firstLineChars="200"/>
        <w:rPr>
          <w:rFonts w:hint="eastAsia" w:ascii="仿宋" w:hAnsi="仿宋" w:eastAsia="仿宋" w:cs="仿宋"/>
          <w:sz w:val="24"/>
        </w:rPr>
      </w:pPr>
      <w:bookmarkStart w:id="81" w:name="_GoBack"/>
      <w:bookmarkEnd w:id="81"/>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5F6E171"/>
    <w:multiLevelType w:val="singleLevel"/>
    <w:tmpl w:val="95F6E171"/>
    <w:lvl w:ilvl="0" w:tentative="0">
      <w:start w:val="1"/>
      <w:numFmt w:val="chineseCounting"/>
      <w:suff w:val="space"/>
      <w:lvlText w:val="第%1条"/>
      <w:lvlJc w:val="left"/>
      <w:rPr>
        <w:rFonts w:hint="eastAsia"/>
      </w:rPr>
    </w:lvl>
  </w:abstractNum>
  <w:abstractNum w:abstractNumId="1">
    <w:nsid w:val="2293BF30"/>
    <w:multiLevelType w:val="singleLevel"/>
    <w:tmpl w:val="2293BF30"/>
    <w:lvl w:ilvl="0" w:tentative="0">
      <w:start w:val="6"/>
      <w:numFmt w:val="chineseCounting"/>
      <w:suff w:val="space"/>
      <w:lvlText w:val="第%1条"/>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U5ZDUzMjc5YWQ2YzY1Y2VlYzUyMjM5YThiZmM4OTUifQ=="/>
    <w:docVar w:name="KSO_WPS_MARK_KEY" w:val="9b2064fa-637d-48c3-ab6f-743be6b915f6"/>
  </w:docVars>
  <w:rsids>
    <w:rsidRoot w:val="00091284"/>
    <w:rsid w:val="00091284"/>
    <w:rsid w:val="003651B3"/>
    <w:rsid w:val="005A79CB"/>
    <w:rsid w:val="005F3BCE"/>
    <w:rsid w:val="044A045E"/>
    <w:rsid w:val="18F16A49"/>
    <w:rsid w:val="198A5383"/>
    <w:rsid w:val="1D6152DA"/>
    <w:rsid w:val="1F014874"/>
    <w:rsid w:val="238D1AB4"/>
    <w:rsid w:val="263317DE"/>
    <w:rsid w:val="28CA4B5C"/>
    <w:rsid w:val="2D12265A"/>
    <w:rsid w:val="2E6C62EF"/>
    <w:rsid w:val="394147CF"/>
    <w:rsid w:val="4C300944"/>
    <w:rsid w:val="4C520100"/>
    <w:rsid w:val="5B2C0E5C"/>
    <w:rsid w:val="5CA97B29"/>
    <w:rsid w:val="61003467"/>
    <w:rsid w:val="63B079EF"/>
    <w:rsid w:val="64FC2EBF"/>
    <w:rsid w:val="66F916AD"/>
    <w:rsid w:val="6CCD022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semiHidden="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4"/>
    <w:basedOn w:val="1"/>
    <w:next w:val="1"/>
    <w:qFormat/>
    <w:uiPriority w:val="0"/>
    <w:pPr>
      <w:keepNext/>
      <w:outlineLvl w:val="3"/>
    </w:pPr>
    <w:rPr>
      <w:color w:val="FF0000"/>
      <w:sz w:val="28"/>
      <w:u w:val="single"/>
    </w:rPr>
  </w:style>
  <w:style w:type="character" w:default="1" w:styleId="10">
    <w:name w:val="Default Paragraph Font"/>
    <w:unhideWhenUsed/>
    <w:uiPriority w:val="1"/>
  </w:style>
  <w:style w:type="table" w:default="1" w:styleId="9">
    <w:name w:val="Normal Table"/>
    <w:semiHidden/>
    <w:unhideWhenUsed/>
    <w:uiPriority w:val="99"/>
    <w:tblPr>
      <w:tblCellMar>
        <w:top w:w="0" w:type="dxa"/>
        <w:left w:w="108" w:type="dxa"/>
        <w:bottom w:w="0" w:type="dxa"/>
        <w:right w:w="108" w:type="dxa"/>
      </w:tblCellMar>
    </w:tblPr>
  </w:style>
  <w:style w:type="paragraph" w:styleId="3">
    <w:name w:val="Body Text"/>
    <w:basedOn w:val="1"/>
    <w:autoRedefine/>
    <w:unhideWhenUsed/>
    <w:qFormat/>
    <w:uiPriority w:val="99"/>
    <w:pPr>
      <w:spacing w:after="120"/>
    </w:pPr>
  </w:style>
  <w:style w:type="paragraph" w:styleId="4">
    <w:name w:val="Block Text"/>
    <w:basedOn w:val="1"/>
    <w:next w:val="5"/>
    <w:autoRedefine/>
    <w:qFormat/>
    <w:uiPriority w:val="0"/>
    <w:pPr>
      <w:spacing w:after="120"/>
      <w:ind w:left="1440" w:leftChars="700" w:right="700" w:rightChars="700"/>
    </w:pPr>
  </w:style>
  <w:style w:type="paragraph" w:styleId="5">
    <w:name w:val="Plain Text"/>
    <w:basedOn w:val="1"/>
    <w:next w:val="1"/>
    <w:autoRedefine/>
    <w:qFormat/>
    <w:uiPriority w:val="0"/>
    <w:rPr>
      <w:rFonts w:ascii="宋体" w:hAnsi="宋体"/>
      <w:szCs w:val="21"/>
    </w:rPr>
  </w:style>
  <w:style w:type="paragraph" w:styleId="6">
    <w:name w:val="footer"/>
    <w:basedOn w:val="1"/>
    <w:link w:val="16"/>
    <w:autoRedefine/>
    <w:uiPriority w:val="0"/>
    <w:pPr>
      <w:tabs>
        <w:tab w:val="center" w:pos="4153"/>
        <w:tab w:val="right" w:pos="8306"/>
      </w:tabs>
      <w:snapToGrid w:val="0"/>
      <w:jc w:val="left"/>
    </w:pPr>
    <w:rPr>
      <w:sz w:val="18"/>
      <w:szCs w:val="18"/>
    </w:rPr>
  </w:style>
  <w:style w:type="paragraph" w:styleId="7">
    <w:name w:val="header"/>
    <w:basedOn w:val="1"/>
    <w:link w:val="15"/>
    <w:autoRedefine/>
    <w:qFormat/>
    <w:uiPriority w:val="0"/>
    <w:pPr>
      <w:tabs>
        <w:tab w:val="center" w:pos="4153"/>
        <w:tab w:val="right" w:pos="8306"/>
      </w:tabs>
      <w:snapToGrid w:val="0"/>
      <w:jc w:val="center"/>
    </w:pPr>
    <w:rPr>
      <w:sz w:val="18"/>
      <w:szCs w:val="18"/>
    </w:rPr>
  </w:style>
  <w:style w:type="paragraph" w:styleId="8">
    <w:name w:val="toc 1"/>
    <w:basedOn w:val="1"/>
    <w:next w:val="1"/>
    <w:autoRedefine/>
    <w:qFormat/>
    <w:uiPriority w:val="0"/>
  </w:style>
  <w:style w:type="paragraph" w:customStyle="1" w:styleId="11">
    <w:name w:val="标书正文1"/>
    <w:basedOn w:val="1"/>
    <w:next w:val="3"/>
    <w:autoRedefine/>
    <w:qFormat/>
    <w:uiPriority w:val="0"/>
    <w:pPr>
      <w:autoSpaceDE w:val="0"/>
      <w:autoSpaceDN w:val="0"/>
      <w:spacing w:line="520" w:lineRule="exact"/>
      <w:ind w:firstLine="640" w:firstLineChars="200"/>
      <w:jc w:val="left"/>
    </w:pPr>
    <w:rPr>
      <w:rFonts w:ascii="仿宋" w:hAnsi="仿宋" w:eastAsia="仿宋" w:cs="仿宋"/>
      <w:kern w:val="0"/>
      <w:sz w:val="22"/>
      <w:lang w:val="zh-CN" w:bidi="zh-CN"/>
    </w:rPr>
  </w:style>
  <w:style w:type="paragraph" w:customStyle="1" w:styleId="12">
    <w:name w:val="null3"/>
    <w:autoRedefine/>
    <w:qFormat/>
    <w:uiPriority w:val="0"/>
    <w:rPr>
      <w:rFonts w:hint="eastAsia" w:ascii="Calibri" w:hAnsi="Calibri" w:eastAsia="宋体" w:cs="Times New Roman"/>
      <w:lang w:val="en-US" w:eastAsia="zh-Hans" w:bidi="ar-SA"/>
    </w:rPr>
  </w:style>
  <w:style w:type="paragraph" w:customStyle="1" w:styleId="13">
    <w:name w:val="样式 首行缩进:  2 字符"/>
    <w:autoRedefine/>
    <w:qFormat/>
    <w:uiPriority w:val="0"/>
    <w:pPr>
      <w:widowControl w:val="0"/>
      <w:pBdr>
        <w:top w:val="none" w:color="000000" w:sz="0" w:space="3"/>
        <w:left w:val="none" w:color="000000" w:sz="0" w:space="3"/>
        <w:bottom w:val="none" w:color="000000" w:sz="0" w:space="3"/>
        <w:right w:val="none" w:color="000000" w:sz="0" w:space="3"/>
        <w:between w:val="none" w:color="000000" w:sz="0" w:space="0"/>
      </w:pBdr>
      <w:spacing w:line="400" w:lineRule="exact"/>
      <w:ind w:firstLine="200"/>
      <w:jc w:val="both"/>
    </w:pPr>
    <w:rPr>
      <w:rFonts w:ascii="Calibri" w:hAnsi="Calibri" w:eastAsia="宋体" w:cs="宋体"/>
      <w:kern w:val="1"/>
      <w:sz w:val="24"/>
      <w:szCs w:val="24"/>
      <w:lang w:val="en-US" w:eastAsia="zh-CN" w:bidi="ar-SA"/>
    </w:rPr>
  </w:style>
  <w:style w:type="paragraph" w:customStyle="1" w:styleId="14">
    <w:name w:val="列出段落1"/>
    <w:basedOn w:val="1"/>
    <w:autoRedefine/>
    <w:qFormat/>
    <w:uiPriority w:val="99"/>
    <w:pPr>
      <w:ind w:firstLine="420" w:firstLineChars="200"/>
    </w:pPr>
  </w:style>
  <w:style w:type="character" w:customStyle="1" w:styleId="15">
    <w:name w:val="页眉 字符"/>
    <w:basedOn w:val="10"/>
    <w:link w:val="7"/>
    <w:autoRedefine/>
    <w:qFormat/>
    <w:uiPriority w:val="0"/>
    <w:rPr>
      <w:rFonts w:ascii="Calibri" w:hAnsi="Calibri" w:eastAsia="宋体" w:cs="Times New Roman"/>
      <w:kern w:val="2"/>
      <w:sz w:val="18"/>
      <w:szCs w:val="18"/>
    </w:rPr>
  </w:style>
  <w:style w:type="character" w:customStyle="1" w:styleId="16">
    <w:name w:val="页脚 字符"/>
    <w:basedOn w:val="10"/>
    <w:link w:val="6"/>
    <w:autoRedefine/>
    <w:qFormat/>
    <w:uiPriority w:val="0"/>
    <w:rPr>
      <w:rFonts w:ascii="Calibri" w:hAnsi="Calibri" w:eastAsia="宋体" w:cs="Times New Roman"/>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4</Pages>
  <Words>1511</Words>
  <Characters>1543</Characters>
  <Lines>102</Lines>
  <Paragraphs>132</Paragraphs>
  <TotalTime>0</TotalTime>
  <ScaleCrop>false</ScaleCrop>
  <LinksUpToDate>false</LinksUpToDate>
  <CharactersWithSpaces>2922</CharactersWithSpaces>
  <Application>WPS Office_12.1.0.16399_F1E327BC-269C-435d-A152-05C5408002CA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2024-02-27T07:48:00Z</dcterms:created>
  <dc:creator>Hailan</dc:creator>
  <cp:lastModifiedBy>懛鰦</cp:lastModifiedBy>
  <dcterms:modified xsi:type="dcterms:W3CDTF">2025-10-09T03:42:19Z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2052-12.1.0.16399</vt:lpwstr>
  </property>
  <property fmtid="{D5CDD505-2E9C-101B-9397-08002B2CF9AE}" pid="3" name="ICV">
    <vt:lpwstr>0909B54BE12242FB8C32DB63AD4498EB_12</vt:lpwstr>
  </property>
</Properties>
</file>