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79"/>
        </w:tabs>
        <w:spacing w:beforeLines="50" w:afterLines="50"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服务要求应</w:t>
      </w:r>
      <w:bookmarkStart w:id="1" w:name="_GoBack"/>
      <w:bookmarkEnd w:id="1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答表</w:t>
      </w:r>
    </w:p>
    <w:p>
      <w:pPr>
        <w:pStyle w:val="5"/>
        <w:spacing w:after="120" w:afterLines="50"/>
        <w:ind w:firstLine="120" w:firstLineChars="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bookmarkStart w:id="0" w:name="OLE_LINK1"/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项目编号： </w:t>
      </w:r>
      <w:bookmarkEnd w:id="0"/>
    </w:p>
    <w:tbl>
      <w:tblPr>
        <w:tblStyle w:val="7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156"/>
        <w:gridCol w:w="2113"/>
        <w:gridCol w:w="1940"/>
        <w:gridCol w:w="1437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文件条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目号</w:t>
            </w:r>
          </w:p>
        </w:tc>
        <w:tc>
          <w:tcPr>
            <w:tcW w:w="211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服务内容及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94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的应答</w:t>
            </w: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偏离或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相同</w:t>
            </w:r>
          </w:p>
        </w:tc>
        <w:tc>
          <w:tcPr>
            <w:tcW w:w="162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before="120" w:beforeLines="50" w:line="400" w:lineRule="exact"/>
        <w:ind w:left="4" w:leftChars="2"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必须将磋商文件第三章《磋商项目技术、服务、商务及其他要求》中的服务要求全部内容事项列入此表，并进行应答。供应商若与磋商文件第三章《磋商项目技术、服务、商务及其他要求》中的服务要求全部内容事项完全响应，无偏差，此表可不填写。</w:t>
      </w:r>
    </w:p>
    <w:p>
      <w:pPr>
        <w:spacing w:before="120" w:beforeLines="50" w:line="400" w:lineRule="exact"/>
        <w:ind w:left="4" w:leftChars="2" w:firstLine="720" w:firstLineChars="3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日</w:t>
      </w:r>
    </w:p>
    <w:p>
      <w:pPr>
        <w:rPr>
          <w:rFonts w:hint="eastAsia" w:ascii="方正仿宋_GB2312" w:hAnsi="方正仿宋_GB2312" w:eastAsia="方正仿宋_GB2312" w:cs="方正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AE6BA4C8-AB2C-4877-8120-154A6A6B901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6064E0"/>
    <w:rsid w:val="1B37139B"/>
    <w:rsid w:val="3529269E"/>
    <w:rsid w:val="55B674AC"/>
    <w:rsid w:val="5F7A320E"/>
    <w:rsid w:val="6B2F4799"/>
    <w:rsid w:val="720F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2024-07-22T08:15:00Z</dcterms:created>
  <dc:creator>hailan</dc:creator>
  <cp:lastModifiedBy>懛鰦</cp:lastModifiedBy>
  <dcterms:modified xsi:type="dcterms:W3CDTF">2025-09-16T07:49:42Z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6CA85FC65F32468DA559BDC9CC37D7AB_12</vt:lpwstr>
  </property>
</Properties>
</file>