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版本号：BZZ2025-CS-013.1B120251009001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蓝田法院2025年食堂管理服务项目(二次)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BZZ2025-CS-013.1B1</w:t>
      </w:r>
      <w:r>
        <w:br/>
      </w:r>
      <w:r>
        <w:br/>
      </w:r>
      <w:r>
        <w:br/>
      </w:r>
    </w:p>
    <w:p>
      <w:pPr>
        <w:pStyle w:val="null3"/>
        <w:jc w:val="center"/>
        <w:outlineLvl w:val="2"/>
      </w:pPr>
      <w:r>
        <w:rPr>
          <w:rFonts w:ascii="仿宋_GB2312" w:hAnsi="仿宋_GB2312" w:cs="仿宋_GB2312" w:eastAsia="仿宋_GB2312"/>
          <w:sz w:val="28"/>
          <w:b/>
        </w:rPr>
        <w:t>蓝田县人民法院[164]</w:t>
      </w:r>
    </w:p>
    <w:p>
      <w:pPr>
        <w:pStyle w:val="null3"/>
        <w:jc w:val="center"/>
        <w:outlineLvl w:val="2"/>
      </w:pPr>
      <w:r>
        <w:rPr>
          <w:rFonts w:ascii="仿宋_GB2312" w:hAnsi="仿宋_GB2312" w:cs="仿宋_GB2312" w:eastAsia="仿宋_GB2312"/>
          <w:sz w:val="28"/>
          <w:b/>
        </w:rPr>
        <w:t>陕西博之众项目管理有限公司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陕西博之众项目管理有限公司</w:t>
      </w:r>
      <w:r>
        <w:rPr>
          <w:rFonts w:ascii="仿宋_GB2312" w:hAnsi="仿宋_GB2312" w:cs="仿宋_GB2312" w:eastAsia="仿宋_GB2312"/>
        </w:rPr>
        <w:t>（以下简称“代理机构”）受</w:t>
      </w:r>
      <w:r>
        <w:rPr>
          <w:rFonts w:ascii="仿宋_GB2312" w:hAnsi="仿宋_GB2312" w:cs="仿宋_GB2312" w:eastAsia="仿宋_GB2312"/>
        </w:rPr>
        <w:t>蓝田县人民法院[164]</w:t>
      </w:r>
      <w:r>
        <w:rPr>
          <w:rFonts w:ascii="仿宋_GB2312" w:hAnsi="仿宋_GB2312" w:cs="仿宋_GB2312" w:eastAsia="仿宋_GB2312"/>
        </w:rPr>
        <w:t>委托，拟对</w:t>
      </w:r>
      <w:r>
        <w:rPr>
          <w:rFonts w:ascii="仿宋_GB2312" w:hAnsi="仿宋_GB2312" w:cs="仿宋_GB2312" w:eastAsia="仿宋_GB2312"/>
        </w:rPr>
        <w:t>蓝田法院2025年食堂管理服务项目(二次)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BZZ2025-CS-013.1B1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蓝田法院2025年食堂管理服务项目(二次)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蓝田法院2025年食堂管理服务项目。详见竞争性磋商文件第三章磋商项目技术、服务、商务及其他要求。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采购包1（蓝田法院2025年食堂管理服务项目）：属于专门面向中小企业采购。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财务要求：须提供2022、2023、2024年任意一年度经审计的财务会计报告（包括审计报告、资产负债表、利润表、现金流量表、所有者权益变动表及其附注，成立时间至提交响应文件截止时间不足一年的可提供成立后任意时段的资产负债表），或基本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凭证：提供递交响应文件截止之日前六个月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4、社会保障资金缴纳证明：提供递交响应文件截止之日前六个月内已缴存至少一个月社会保障资金缴纳的有效证明，依法不需要缴纳社会保障资金的单位应提供相关证明材料。</w:t>
      </w:r>
    </w:p>
    <w:p>
      <w:pPr>
        <w:pStyle w:val="null3"/>
      </w:pPr>
      <w:r>
        <w:rPr>
          <w:rFonts w:ascii="仿宋_GB2312" w:hAnsi="仿宋_GB2312" w:cs="仿宋_GB2312" w:eastAsia="仿宋_GB2312"/>
        </w:rPr>
        <w:t>5、书面声明：须提供参加政府采购活动前3年内无重大违法记录和具有履行合同所必需的设备和专业技术能力的书面声明。</w:t>
      </w:r>
    </w:p>
    <w:p>
      <w:pPr>
        <w:pStyle w:val="null3"/>
      </w:pPr>
      <w:r>
        <w:rPr>
          <w:rFonts w:ascii="仿宋_GB2312" w:hAnsi="仿宋_GB2312" w:cs="仿宋_GB2312" w:eastAsia="仿宋_GB2312"/>
        </w:rPr>
        <w:t>6、法定代表人授权书及委托代理人身份证复印件：法定代表人授权书及委托代理人身份证复印件加盖公章（法定代表人直接投标须提交法定代表人身份证明书及其身份证复印件加盖公章）。</w:t>
      </w:r>
    </w:p>
    <w:p>
      <w:pPr>
        <w:pStyle w:val="null3"/>
      </w:pPr>
      <w:r>
        <w:rPr>
          <w:rFonts w:ascii="仿宋_GB2312" w:hAnsi="仿宋_GB2312" w:cs="仿宋_GB2312" w:eastAsia="仿宋_GB2312"/>
        </w:rPr>
        <w:t>7、信用截图：供应商不得在“中国执行信息公开网（http://zxgk.court.gov.cn/）”网站被列为失信被执行人。不得在“信用中国（www.creditchina.gov.cn）”网站被列入“重大税收违法失信主体”、“政府采购严重违法失信行为记录名单”名单，不得在中国政府采购网（www.ccgp.gov.cn）政府采购严重违法失信行为记录名单中被财政部门禁止参加政府采购活动的供应商。（信用记录由采购代理机构在响应文件资格审查阶段通过互联网或者相关系统查询，查询结果以纸质方式留存。）</w:t>
      </w:r>
    </w:p>
    <w:p>
      <w:pPr>
        <w:pStyle w:val="null3"/>
      </w:pPr>
      <w:r>
        <w:rPr>
          <w:rFonts w:ascii="仿宋_GB2312" w:hAnsi="仿宋_GB2312" w:cs="仿宋_GB2312" w:eastAsia="仿宋_GB2312"/>
        </w:rPr>
        <w:t>8、非联合体声明：本项目不接受联合体投标，供应商提供非联合体书面声明（格式自拟）。</w:t>
      </w:r>
    </w:p>
    <w:p>
      <w:pPr>
        <w:pStyle w:val="null3"/>
      </w:pPr>
      <w:r>
        <w:rPr>
          <w:rFonts w:ascii="仿宋_GB2312" w:hAnsi="仿宋_GB2312" w:cs="仿宋_GB2312" w:eastAsia="仿宋_GB2312"/>
        </w:rPr>
        <w:t>9、企业关系关联承诺书：供应商需提供企业关系关联承诺书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蓝田县人民法院[164]</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蓝田县玉泉路10号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蓝田县人民法院[164]经办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029-82735663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陕西博之众项目管理有限公司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陕西省西安市雁塔区高新二路2号新世纪大厦910B室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029-81875596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采购项目的中标（成交）金额作为收费基数，按照国家计委（计价格【2002】1980号）《招标代理服务收费管理暂行办法》规定的服务类收费标准收取。由成交供应商向采购代理机构一次性支付，具体收费金额以采购结果公示为准。 2.成交单位在领取成交通知书前，须向采购代理机构一次性支付采购代理服务费。 3.代理费缴存账户： 开户名称：陕西博之众项目管理有限公司 开户行：中国工商银行股份有限公司朱雀大街支行 账 号：3700 0251 0920 0108 068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蓝田县人民法院[164]</w:t>
      </w:r>
      <w:r>
        <w:rPr>
          <w:rFonts w:ascii="仿宋_GB2312" w:hAnsi="仿宋_GB2312" w:cs="仿宋_GB2312" w:eastAsia="仿宋_GB2312"/>
        </w:rPr>
        <w:t>和</w:t>
      </w:r>
      <w:r>
        <w:rPr>
          <w:rFonts w:ascii="仿宋_GB2312" w:hAnsi="仿宋_GB2312" w:cs="仿宋_GB2312" w:eastAsia="仿宋_GB2312"/>
        </w:rPr>
        <w:t>陕西博之众项目管理有限公司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蓝田县人民法院[164]</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陕西博之众项目管理有限公司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蓝田县人民法院[164]</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陕西博之众项目管理有限公司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满足采购人要求，并达到合格标准，详见采购合同。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陕西博之众项目管理有限公司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陕西博之众项目管理有限公司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陕西博之众项目管理有限公司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联系人：孙辰宇</w:t>
      </w:r>
    </w:p>
    <w:p>
      <w:pPr>
        <w:pStyle w:val="null3"/>
      </w:pPr>
      <w:r>
        <w:rPr>
          <w:rFonts w:ascii="仿宋_GB2312" w:hAnsi="仿宋_GB2312" w:cs="仿宋_GB2312" w:eastAsia="仿宋_GB2312"/>
        </w:rPr>
        <w:t>联系电话：029-81875596</w:t>
      </w:r>
    </w:p>
    <w:p>
      <w:pPr>
        <w:pStyle w:val="null3"/>
      </w:pPr>
      <w:r>
        <w:rPr>
          <w:rFonts w:ascii="仿宋_GB2312" w:hAnsi="仿宋_GB2312" w:cs="仿宋_GB2312" w:eastAsia="仿宋_GB2312"/>
        </w:rPr>
        <w:t>地址：陕西省西安市雁塔区高新二路2号新世纪大厦910B室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蓝田法院2025年食堂服务项目计划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571,000.00</w:t>
      </w:r>
    </w:p>
    <w:p>
      <w:pPr>
        <w:pStyle w:val="null3"/>
      </w:pPr>
      <w:r>
        <w:rPr>
          <w:rFonts w:ascii="仿宋_GB2312" w:hAnsi="仿宋_GB2312" w:cs="仿宋_GB2312" w:eastAsia="仿宋_GB2312"/>
        </w:rPr>
        <w:t>采购包最高限价（元）: 571,000.00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带</w:t>
            </w:r>
            <w:r>
              <w:rPr>
                <w:rFonts w:ascii="仿宋_GB2312" w:hAnsi="仿宋_GB2312" w:cs="仿宋_GB2312" w:eastAsia="仿宋_GB2312"/>
                <w:sz w:val="21"/>
              </w:rPr>
              <w:t>“★”</w:t>
            </w:r>
            <w:r>
              <w:rPr>
                <w:rFonts w:ascii="仿宋_GB2312" w:hAnsi="仿宋_GB2312" w:cs="仿宋_GB2312" w:eastAsia="仿宋_GB2312"/>
                <w:sz w:val="21"/>
              </w:rPr>
              <w:t>的参数需求为实质性要求，供应商必须响应并满足的参数需求，采购人、采购代理机构应当根据项目实际需求合理设定，并明确具体要求。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带</w:t>
            </w:r>
            <w:r>
              <w:rPr>
                <w:rFonts w:ascii="仿宋_GB2312" w:hAnsi="仿宋_GB2312" w:cs="仿宋_GB2312" w:eastAsia="仿宋_GB2312"/>
                <w:sz w:val="21"/>
              </w:rPr>
              <w:t>“▲”</w:t>
            </w:r>
            <w:r>
              <w:rPr>
                <w:rFonts w:ascii="仿宋_GB2312" w:hAnsi="仿宋_GB2312" w:cs="仿宋_GB2312" w:eastAsia="仿宋_GB2312"/>
                <w:sz w:val="21"/>
              </w:rPr>
              <w:t>号条款为允许负偏离的参数需求，若未响应或者不满足，将在综合评审中予以扣分处理。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numPr>
                <w:ilvl w:val="0"/>
                <w:numId w:val="1"/>
              </w:numPr>
              <w:jc w:val="both"/>
            </w:pPr>
            <w:r>
              <w:rPr>
                <w:rFonts w:ascii="仿宋_GB2312" w:hAnsi="仿宋_GB2312" w:cs="仿宋_GB2312" w:eastAsia="仿宋_GB2312"/>
                <w:sz w:val="21"/>
              </w:rPr>
              <w:t>采购项目服务区域：蓝田县人民法院机关、</w:t>
            </w:r>
            <w:r>
              <w:rPr>
                <w:rFonts w:ascii="仿宋_GB2312" w:hAnsi="仿宋_GB2312" w:cs="仿宋_GB2312" w:eastAsia="仿宋_GB2312"/>
                <w:sz w:val="21"/>
              </w:rPr>
              <w:t>4</w:t>
            </w:r>
            <w:r>
              <w:rPr>
                <w:rFonts w:ascii="仿宋_GB2312" w:hAnsi="仿宋_GB2312" w:cs="仿宋_GB2312" w:eastAsia="仿宋_GB2312"/>
                <w:sz w:val="21"/>
              </w:rPr>
              <w:t>个人民法庭（蓝关人民法庭、鹿塬人民法庭、玉山人民法庭、汤峪人民法庭）。</w:t>
            </w:r>
          </w:p>
          <w:p>
            <w:pPr>
              <w:pStyle w:val="null3"/>
              <w:numPr>
                <w:ilvl w:val="0"/>
                <w:numId w:val="1"/>
              </w:numPr>
              <w:jc w:val="both"/>
            </w:pPr>
            <w:r>
              <w:rPr>
                <w:rFonts w:ascii="仿宋_GB2312" w:hAnsi="仿宋_GB2312" w:cs="仿宋_GB2312" w:eastAsia="仿宋_GB2312"/>
                <w:sz w:val="21"/>
              </w:rPr>
              <w:t>服务期：自合同签订之日起一年。</w:t>
            </w:r>
          </w:p>
          <w:p>
            <w:pPr>
              <w:pStyle w:val="null3"/>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、为采购方提供工作日早、午、晚餐服务，提供加班及招待用餐，保障采购人院机关及人民法庭所有人员的餐饮服务工作。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、按采购人要求制定食谱，管理内容包含但不仅限于人员工作安排、厨具餐具等固定资产使用保管等</w:t>
            </w:r>
            <w:r>
              <w:rPr>
                <w:rFonts w:ascii="仿宋_GB2312" w:hAnsi="仿宋_GB2312" w:cs="仿宋_GB2312" w:eastAsia="仿宋_GB2312"/>
                <w:sz w:val="21"/>
              </w:rPr>
              <w:t>)</w:t>
            </w:r>
            <w:r>
              <w:rPr>
                <w:rFonts w:ascii="仿宋_GB2312" w:hAnsi="仿宋_GB2312" w:cs="仿宋_GB2312" w:eastAsia="仿宋_GB2312"/>
                <w:sz w:val="21"/>
              </w:rPr>
              <w:t>，餐饮</w:t>
            </w:r>
            <w:r>
              <w:rPr>
                <w:rFonts w:ascii="仿宋_GB2312" w:hAnsi="仿宋_GB2312" w:cs="仿宋_GB2312" w:eastAsia="仿宋_GB2312"/>
                <w:sz w:val="21"/>
              </w:rPr>
              <w:t>(</w:t>
            </w:r>
            <w:r>
              <w:rPr>
                <w:rFonts w:ascii="仿宋_GB2312" w:hAnsi="仿宋_GB2312" w:cs="仿宋_GB2312" w:eastAsia="仿宋_GB2312"/>
                <w:sz w:val="21"/>
              </w:rPr>
              <w:t>包含但不仅限于食材验收、储存、加工、烹饪、分餐、 餐具清洗、卫生保洁、消毒等</w:t>
            </w:r>
            <w:r>
              <w:rPr>
                <w:rFonts w:ascii="仿宋_GB2312" w:hAnsi="仿宋_GB2312" w:cs="仿宋_GB2312" w:eastAsia="仿宋_GB2312"/>
                <w:sz w:val="21"/>
              </w:rPr>
              <w:t>)</w:t>
            </w:r>
            <w:r>
              <w:rPr>
                <w:rFonts w:ascii="仿宋_GB2312" w:hAnsi="仿宋_GB2312" w:cs="仿宋_GB2312" w:eastAsia="仿宋_GB2312"/>
                <w:sz w:val="21"/>
              </w:rPr>
              <w:t>一条龙服务。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、保证食品质量安全、卫生干净，承担食品安全事故责任，完成餐厅服务保障工作。</w:t>
            </w:r>
          </w:p>
          <w:p>
            <w:pPr>
              <w:pStyle w:val="null3"/>
              <w:jc w:val="both"/>
            </w:pPr>
            <w:r>
              <w:rPr>
                <w:rFonts w:ascii="仿宋_GB2312" w:hAnsi="仿宋_GB2312" w:cs="仿宋_GB2312" w:eastAsia="仿宋_GB2312"/>
                <w:sz w:val="21"/>
              </w:rPr>
              <w:t xml:space="preserve">         4</w:t>
            </w:r>
            <w:r>
              <w:rPr>
                <w:rFonts w:ascii="仿宋_GB2312" w:hAnsi="仿宋_GB2312" w:cs="仿宋_GB2312" w:eastAsia="仿宋_GB2312"/>
                <w:sz w:val="21"/>
              </w:rPr>
              <w:t>、食材以及耗材费用（含液化气费用）由供应商承担及采购，供应商</w:t>
            </w:r>
            <w:r>
              <w:rPr>
                <w:rFonts w:ascii="仿宋_GB2312" w:hAnsi="仿宋_GB2312" w:cs="仿宋_GB2312" w:eastAsia="仿宋_GB2312"/>
                <w:sz w:val="21"/>
              </w:rPr>
              <w:t>应</w:t>
            </w:r>
            <w:r>
              <w:rPr>
                <w:rFonts w:ascii="仿宋_GB2312" w:hAnsi="仿宋_GB2312" w:cs="仿宋_GB2312" w:eastAsia="仿宋_GB2312"/>
                <w:sz w:val="21"/>
              </w:rPr>
              <w:t>承担</w:t>
            </w:r>
            <w:r>
              <w:rPr>
                <w:rFonts w:ascii="仿宋_GB2312" w:hAnsi="仿宋_GB2312" w:cs="仿宋_GB2312" w:eastAsia="仿宋_GB2312"/>
                <w:sz w:val="21"/>
              </w:rPr>
              <w:t>832</w:t>
            </w:r>
            <w:r>
              <w:rPr>
                <w:rFonts w:ascii="仿宋_GB2312" w:hAnsi="仿宋_GB2312" w:cs="仿宋_GB2312" w:eastAsia="仿宋_GB2312"/>
                <w:sz w:val="21"/>
              </w:rPr>
              <w:t>平台预留份额的采购。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满足采购人要求，并达到合格标准，详见采购合同。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按月支付服务费，每月服务期满，甲方对乙方食堂管理服务进行考核，达到付款条件起15日内，由甲方向乙方支付上月服务费，即每次支付的食堂服务费=合同总价÷12 个月－考核扣减金额</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民法典》中的相关条款和本合同的约定执行。未按合同或竞争性磋商文件要求提供服务质量不能满足采购人技术要求，采购人有权终止合同，并对供应商违约行为进行追究。供应商需确保食品经营许可证在合同签订及履行期间持续有效，否则采购人有权终止合同并要求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 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须提供2022、2023、2024年任意一年度经审计的财务会计报告（包括审计报告、资产负债表、利润表、现金流量表、所有者权益变动表及其附注，成立时间至提交响应文件截止时间不足一年的可提供成立后任意时段的资产负债表），或基本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提供递交响应文件截止之日前六个月内已缴存至少一个月社会保障资金缴纳的有效证明，依法不需要缴纳社会保障资金的单位应提供相关证明材料。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须提供参加政府采购活动前3年内无重大违法记录和具有履行合同所必需的设备和专业技术能力的书面声明。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法定代表人授权书及委托代理人身份证复印件</w:t>
            </w:r>
          </w:p>
        </w:tc>
        <w:tc>
          <w:tcPr>
            <w:tcW w:type="dxa" w:w="3322"/>
          </w:tcPr>
          <w:p>
            <w:pPr>
              <w:pStyle w:val="null3"/>
            </w:pPr>
            <w:r>
              <w:rPr>
                <w:rFonts w:ascii="仿宋_GB2312" w:hAnsi="仿宋_GB2312" w:cs="仿宋_GB2312" w:eastAsia="仿宋_GB2312"/>
              </w:rPr>
              <w:t>法定代表人授权书及委托代理人身份证复印件加盖公章（法定代表人直接投标须提交法定代表人身份证明书及其身份证复印件加盖公章）。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在“中国执行信息公开网（http://zxgk.court.gov.cn/）”网站被列为失信被执行人。不得在“信用中国（www.creditchina.gov.cn）”网站被列入“重大税收违法失信主体”、“政府采购严重违法失信行为记录名单”名单，不得在中国政府采购网（www.ccgp.gov.cn）政府采购严重违法失信行为记录名单中被财政部门禁止参加政府采购活动的供应商。（信用记录由采购代理机构在响应文件资格审查阶段通过互联网或者相关系统查询，查询结果以纸质方式留存。）</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本项目不接受联合体投标，供应商提供非联合体书面声明（格式自拟）。</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供应商需提供企业关系关联承诺书</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业绩一览表.docx 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供应商应提交的相关资格证明材料.pdf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符合“采购需求”的规定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实际情况制定详细合理、完整的项目服务方案，包括①服务标准；②服务定位；③重难点分析及解决措施。以上内容全部符合要求，内容完善的每项3分，满分9分，未提供不得分，若内容存在瑕疵，每存在1处瑕疵扣1分，扣完为止。 “瑕疵”指内容明显错误、或内容不合理完善、或内容表述简单笼统、或缺少关键点表述、或对同一问题前后表述矛盾、或不适用本项目特性或套用其他项目内容不能满足本项目实际需求等相关情形。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服务质量控制措施方案</w:t>
            </w:r>
          </w:p>
        </w:tc>
        <w:tc>
          <w:tcPr>
            <w:tcW w:type="dxa" w:w="2492"/>
          </w:tcPr>
          <w:p>
            <w:pPr>
              <w:pStyle w:val="null3"/>
            </w:pPr>
            <w:r>
              <w:rPr>
                <w:rFonts w:ascii="仿宋_GB2312" w:hAnsi="仿宋_GB2312" w:cs="仿宋_GB2312" w:eastAsia="仿宋_GB2312"/>
              </w:rPr>
              <w:t>供应商针对本项目实际情况制定详细合理、完整的服务质量控制措施方案，包括①食品卫生控制措施；②人员卫生管控措施；③环境卫生控制措施；④成本管控措施；⑤设施设备管理措施；⑥消防设施配备与检查。以上内容全部符合要求，内容完善的每项4分，满分24分，未提供不得分，若内容存在瑕疵，每存在1处瑕疵扣1分，扣完为止。 “瑕疵”指内容明显错误、或内容不合理完善、或内容表述简单笼统、或缺少关键点表述、或对同一问题前后表述矛盾、或不适用本项目特性或套用其他项目内容不能满足本项目实际需求等相关情形。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原材料供应管理、食品保存管理方案</w:t>
            </w:r>
          </w:p>
        </w:tc>
        <w:tc>
          <w:tcPr>
            <w:tcW w:type="dxa" w:w="2492"/>
          </w:tcPr>
          <w:p>
            <w:pPr>
              <w:pStyle w:val="null3"/>
            </w:pPr>
            <w:r>
              <w:rPr>
                <w:rFonts w:ascii="仿宋_GB2312" w:hAnsi="仿宋_GB2312" w:cs="仿宋_GB2312" w:eastAsia="仿宋_GB2312"/>
              </w:rPr>
              <w:t>供应商针对本项目实际情况制定详细合理、完整的原材料供应管理、食品保存管理方案，包括①食材采购来源；②食材运输方案；③食材贮存方案；④食材检验检查方案。以上内容全部符合要求，内容完善的每项3分，满分12分，未提供不得分，若内容存在瑕疵，每存在1处瑕疵扣1分，扣完为止。 “瑕疵”指内容明显错误、或内容不合理完善、或内容表述简单笼统、或缺少关键点表述、或对同一问题前后表述矛盾、或不适用本项目特性或套用其他项目内容不能满足本项目实际需求等相关情形。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提供企业内部管理制度，包括①餐厅经营管理制度；②绩效管理制度；③工作流程；④监督考核制度。以上内容全部符合要求，内容完善的每项3分，满分12分，未提供不得分，若内容存在瑕疵，每存在1处瑕疵扣1分，扣完为止。 “瑕疵”指内容明显错误、或内容不合理完善、或内容表述简单笼统、或缺少关键点表述、或对同一问题前后表述矛盾、或不适用本项目特性或套用其他项目内容不能满足本项目实际需求等相关情形。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实际情况制定详细合理、完整可行的应急预案，包括①食品安全事故及食物中毒事件应急预案；②工伤应急处置预案；③停水、停电、停气应急预案。以上内容全部符合要求，内容完善的每项3分，满分9分，未提供不得分，若内容存在瑕疵，每存在1处瑕疵扣1分，扣完为止。 “瑕疵”指内容明显错误、或内容不合理完善、或内容表述简单笼统、或缺少关键点表述、或对同一问题前后表述矛盾、或不适用本项目特性或套用其他项目内容不能满足本项目实际需求等相关情形。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项目团队组织机构</w:t>
            </w:r>
          </w:p>
        </w:tc>
        <w:tc>
          <w:tcPr>
            <w:tcW w:type="dxa" w:w="2492"/>
          </w:tcPr>
          <w:p>
            <w:pPr>
              <w:pStyle w:val="null3"/>
            </w:pPr>
            <w:r>
              <w:rPr>
                <w:rFonts w:ascii="仿宋_GB2312" w:hAnsi="仿宋_GB2312" w:cs="仿宋_GB2312" w:eastAsia="仿宋_GB2312"/>
              </w:rPr>
              <w:t>供应商针对本项目实际情况制定详细合理、完整可行的项目团队组织机构，包括①工作组成员管理组织架构；②人员分工和工作职责划分、业务管理流程；③人员培训。以上内容全部符合要求，内容完善的每项3分，满分9分，未提供不得分，若内容存在瑕疵，每存在1处瑕疵扣1分，扣完为止。 “瑕疵”指内容明显错误、或内容不合理完善、或内容表述简单笼统、或缺少关键点表述、或对同一问题前后表述矛盾、或不适用本项目特性或套用其他项目内容不能满足本项目实际需求等相关情形。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实际情况提供完整的服务承诺，包括①食品安全承诺；②依法用工承诺；③厨房设备安全运行承诺；④菜品保障承诺；⑤食材供应渠道承诺。以上内容全部符合要求，内容完善的每项2分，满分10分，未提供不得分，若内容存在瑕疵，每存在1处瑕疵扣1分，扣完为止。 “瑕疵”指内容明显错误、或内容不合理完善、或内容表述简单笼统、或缺少关键点表述、或对同一问题前后表述矛盾、或不适用本项目特性或套用其他项目内容不能满足本项目实际需求等相关情形。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提供2022年10月至今类似项目业绩，以合同复印件为准，每份得1分，满分5分，未提供不得分。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价格分采用低价优先法计算，即满足磋商文件要求且最低的最终磋商报价作为评标基准价，其价格分为满分。其他供应商的价格分统一按照下列公式计算： 报价得分=（评标基准价/最终磋商报价）×10。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