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D478F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Chars="-250"/>
        <w:jc w:val="center"/>
        <w:outlineLvl w:val="0"/>
        <w:rPr>
          <w:lang w:val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zh-CN"/>
        </w:rPr>
        <w:t>合同范本</w:t>
      </w:r>
    </w:p>
    <w:p w14:paraId="4673D6B7">
      <w:pPr>
        <w:autoSpaceDE w:val="0"/>
        <w:autoSpaceDN w:val="0"/>
        <w:adjustRightInd w:val="0"/>
        <w:spacing w:line="360" w:lineRule="auto"/>
        <w:ind w:left="703" w:hanging="703" w:hangingChars="250"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bookmarkStart w:id="0" w:name="_Toc17500"/>
      <w:bookmarkStart w:id="1" w:name="_Toc9124"/>
      <w:r>
        <w:rPr>
          <w:rFonts w:hint="eastAsia" w:ascii="宋体" w:hAnsi="宋体" w:cs="宋体"/>
          <w:b/>
          <w:bCs/>
          <w:sz w:val="28"/>
          <w:szCs w:val="28"/>
        </w:rPr>
        <w:t>(本合同仅供参考，具体以甲乙双方签订为准，但不得更改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磋商文件</w:t>
      </w:r>
      <w:bookmarkEnd w:id="0"/>
      <w:bookmarkEnd w:id="1"/>
    </w:p>
    <w:p w14:paraId="782EACB6">
      <w:pPr>
        <w:autoSpaceDE w:val="0"/>
        <w:autoSpaceDN w:val="0"/>
        <w:adjustRightInd w:val="0"/>
        <w:spacing w:line="360" w:lineRule="auto"/>
        <w:ind w:left="703" w:hanging="703" w:hangingChars="250"/>
        <w:jc w:val="center"/>
      </w:pPr>
      <w:r>
        <w:rPr>
          <w:rFonts w:hint="eastAsia" w:ascii="宋体" w:hAnsi="宋体" w:cs="宋体"/>
          <w:b/>
          <w:bCs/>
          <w:sz w:val="28"/>
          <w:szCs w:val="28"/>
        </w:rPr>
        <w:t>及响应文件中的实质要求)</w:t>
      </w:r>
    </w:p>
    <w:p w14:paraId="4847AC20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</w:rPr>
        <w:t xml:space="preserve"> 蓝田法院2025年食堂管理服务项目</w:t>
      </w:r>
      <w:r>
        <w:rPr>
          <w:rFonts w:hint="eastAsia" w:ascii="宋体" w:hAnsi="宋体" w:cs="宋体"/>
          <w:sz w:val="28"/>
          <w:szCs w:val="28"/>
        </w:rPr>
        <w:t>，由</w:t>
      </w:r>
      <w:r>
        <w:rPr>
          <w:rFonts w:hint="eastAsia" w:ascii="宋体" w:hAnsi="宋体" w:cs="宋体"/>
          <w:sz w:val="28"/>
          <w:szCs w:val="28"/>
          <w:lang w:eastAsia="zh-CN"/>
        </w:rPr>
        <w:t>陕西博之众项目管理有限公司</w:t>
      </w:r>
      <w:r>
        <w:rPr>
          <w:rFonts w:hint="eastAsia" w:ascii="宋体" w:hAnsi="宋体" w:cs="宋体"/>
          <w:sz w:val="28"/>
          <w:szCs w:val="28"/>
        </w:rPr>
        <w:t>组织采购，选定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</w:rPr>
        <w:t>(以下简称乙方）为该项目成交供应商。根据《中华人民共和国民法典》和《中华人民共和国政府采购法》，经甲、乙双方共同协商，按下述条款和条件签署本合同。</w:t>
      </w:r>
    </w:p>
    <w:p w14:paraId="418262C3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2" w:name="_Toc30251"/>
      <w:bookmarkStart w:id="3" w:name="_Toc1208"/>
      <w:bookmarkStart w:id="4" w:name="_Toc27096"/>
      <w:bookmarkStart w:id="5" w:name="_Toc29385"/>
      <w:bookmarkStart w:id="6" w:name="_Toc5104"/>
      <w:bookmarkStart w:id="7" w:name="_Toc8483"/>
      <w:bookmarkStart w:id="8" w:name="_Toc1706"/>
      <w:bookmarkStart w:id="9" w:name="_Toc26925"/>
      <w:bookmarkStart w:id="10" w:name="_Toc27221"/>
      <w:bookmarkStart w:id="11" w:name="_Toc29042"/>
      <w:bookmarkStart w:id="12" w:name="_Toc32551"/>
      <w:bookmarkStart w:id="13" w:name="_Toc24708"/>
      <w:bookmarkStart w:id="14" w:name="_Toc18958"/>
      <w:bookmarkStart w:id="15" w:name="_Toc1898"/>
      <w:bookmarkStart w:id="16" w:name="_Toc4829"/>
      <w:bookmarkStart w:id="17" w:name="_Toc24357"/>
      <w:bookmarkStart w:id="18" w:name="_Toc18111"/>
      <w:bookmarkStart w:id="19" w:name="_Toc5998"/>
      <w:bookmarkStart w:id="20" w:name="_Toc17611"/>
      <w:bookmarkStart w:id="21" w:name="_Toc19135"/>
      <w:r>
        <w:rPr>
          <w:rFonts w:hint="eastAsia" w:ascii="宋体" w:hAnsi="宋体" w:cs="宋体"/>
          <w:sz w:val="28"/>
          <w:szCs w:val="28"/>
        </w:rPr>
        <w:t>一、合同内容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7E1D2E18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乙方负责按照合同确定的技术标准提供服务，确保各项技术规格、参数、质量等达到甲方要求。</w:t>
      </w:r>
    </w:p>
    <w:p w14:paraId="5A90A47F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22" w:name="_Toc28498"/>
      <w:bookmarkStart w:id="23" w:name="_Toc30902"/>
      <w:bookmarkStart w:id="24" w:name="_Toc9768"/>
      <w:bookmarkStart w:id="25" w:name="_Toc18687"/>
      <w:bookmarkStart w:id="26" w:name="_Toc29231"/>
      <w:bookmarkStart w:id="27" w:name="_Toc32549"/>
      <w:bookmarkStart w:id="28" w:name="_Toc10996"/>
      <w:bookmarkStart w:id="29" w:name="_Toc30131"/>
      <w:bookmarkStart w:id="30" w:name="_Toc7550"/>
      <w:bookmarkStart w:id="31" w:name="_Toc26975"/>
      <w:bookmarkStart w:id="32" w:name="_Toc1793"/>
      <w:bookmarkStart w:id="33" w:name="_Toc3256"/>
      <w:bookmarkStart w:id="34" w:name="_Toc1070"/>
      <w:bookmarkStart w:id="35" w:name="_Toc25046"/>
      <w:bookmarkStart w:id="36" w:name="_Toc574"/>
      <w:bookmarkStart w:id="37" w:name="_Toc13998"/>
      <w:bookmarkStart w:id="38" w:name="_Toc25197"/>
      <w:bookmarkStart w:id="39" w:name="_Toc31920"/>
      <w:bookmarkStart w:id="40" w:name="_Toc3345"/>
      <w:bookmarkStart w:id="41" w:name="_Toc9945"/>
      <w:r>
        <w:rPr>
          <w:rFonts w:hint="eastAsia" w:ascii="宋体" w:hAnsi="宋体" w:cs="宋体"/>
          <w:sz w:val="28"/>
          <w:szCs w:val="28"/>
        </w:rPr>
        <w:t>二、合同价格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14:paraId="21C57E62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合同总价：人民币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（¥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sz w:val="28"/>
          <w:szCs w:val="28"/>
        </w:rPr>
        <w:t xml:space="preserve">元） </w:t>
      </w:r>
    </w:p>
    <w:p w14:paraId="0FD7CAB3">
      <w:pPr>
        <w:widowControl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bookmarkStart w:id="42" w:name="_Toc30977"/>
      <w:bookmarkStart w:id="43" w:name="_Toc25530"/>
      <w:bookmarkStart w:id="44" w:name="_Toc26631"/>
      <w:bookmarkStart w:id="45" w:name="_Toc6178"/>
      <w:bookmarkStart w:id="46" w:name="_Toc13110"/>
      <w:bookmarkStart w:id="47" w:name="_Toc20510"/>
      <w:bookmarkStart w:id="48" w:name="_Toc21146"/>
      <w:bookmarkStart w:id="49" w:name="_Toc29379"/>
      <w:bookmarkStart w:id="50" w:name="_Toc13143"/>
      <w:bookmarkStart w:id="51" w:name="_Toc9703"/>
      <w:bookmarkStart w:id="52" w:name="_Toc29514"/>
      <w:bookmarkStart w:id="53" w:name="_Toc20402"/>
      <w:bookmarkStart w:id="54" w:name="_Toc5648"/>
      <w:bookmarkStart w:id="55" w:name="_Toc4923"/>
      <w:bookmarkStart w:id="56" w:name="_Toc13286"/>
      <w:bookmarkStart w:id="57" w:name="_Toc30008"/>
      <w:bookmarkStart w:id="58" w:name="_Toc16758"/>
      <w:r>
        <w:rPr>
          <w:rFonts w:hint="eastAsia" w:ascii="宋体" w:hAnsi="宋体" w:cs="宋体"/>
          <w:sz w:val="28"/>
          <w:szCs w:val="28"/>
        </w:rPr>
        <w:t>说明：报价应包含与本项目相关的所有费用。</w:t>
      </w:r>
    </w:p>
    <w:p w14:paraId="67EF703C">
      <w:pPr>
        <w:widowControl/>
        <w:snapToGrid w:val="0"/>
        <w:spacing w:line="360" w:lineRule="auto"/>
        <w:ind w:firstLine="560" w:firstLineChars="200"/>
        <w:outlineLvl w:val="1"/>
        <w:rPr>
          <w:rFonts w:hint="eastAsia" w:ascii="宋体" w:hAnsi="宋体" w:cs="宋体"/>
          <w:sz w:val="28"/>
          <w:szCs w:val="28"/>
          <w:lang w:eastAsia="zh-CN"/>
        </w:rPr>
      </w:pPr>
      <w:bookmarkStart w:id="59" w:name="_Toc23514"/>
      <w:bookmarkStart w:id="60" w:name="_Toc14302"/>
      <w:r>
        <w:rPr>
          <w:rFonts w:hint="eastAsia" w:ascii="宋体" w:hAnsi="宋体" w:cs="宋体"/>
          <w:sz w:val="28"/>
          <w:szCs w:val="28"/>
        </w:rPr>
        <w:t>三、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Start w:id="61" w:name="_Toc18308"/>
      <w:bookmarkStart w:id="62" w:name="_Toc488"/>
      <w:bookmarkStart w:id="63" w:name="_Toc7250"/>
      <w:bookmarkStart w:id="64" w:name="_Toc9630"/>
      <w:bookmarkStart w:id="65" w:name="_Toc17300"/>
      <w:bookmarkStart w:id="66" w:name="_Toc30352"/>
      <w:bookmarkStart w:id="67" w:name="_Toc30893"/>
      <w:bookmarkStart w:id="68" w:name="_Toc6761"/>
      <w:r>
        <w:rPr>
          <w:rFonts w:hint="eastAsia" w:ascii="宋体" w:hAnsi="宋体" w:cs="宋体"/>
          <w:sz w:val="28"/>
          <w:szCs w:val="28"/>
        </w:rPr>
        <w:t>服务期及服务地点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  <w:bookmarkEnd w:id="60"/>
    </w:p>
    <w:p w14:paraId="0E90E116">
      <w:pPr>
        <w:widowControl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bookmarkStart w:id="69" w:name="_Toc8554"/>
      <w:bookmarkStart w:id="70" w:name="_Toc23465"/>
      <w:r>
        <w:rPr>
          <w:rFonts w:hint="eastAsia" w:ascii="宋体" w:hAnsi="宋体" w:cs="宋体"/>
          <w:sz w:val="28"/>
          <w:szCs w:val="28"/>
          <w:lang w:val="en-US" w:eastAsia="zh-CN"/>
        </w:rPr>
        <w:t>1、服务期：</w:t>
      </w:r>
      <w:bookmarkEnd w:id="69"/>
      <w:r>
        <w:rPr>
          <w:rFonts w:hint="eastAsia" w:ascii="宋体" w:hAnsi="宋体" w:cs="宋体"/>
          <w:sz w:val="28"/>
          <w:szCs w:val="28"/>
          <w:lang w:val="en-US" w:eastAsia="zh-CN"/>
        </w:rPr>
        <w:t>自合同签订之日起一年</w:t>
      </w:r>
    </w:p>
    <w:p w14:paraId="2B0E42D0">
      <w:pPr>
        <w:widowControl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bookmarkStart w:id="71" w:name="_Toc25153"/>
      <w:r>
        <w:rPr>
          <w:rFonts w:hint="eastAsia" w:ascii="宋体" w:hAnsi="宋体" w:cs="宋体"/>
          <w:sz w:val="28"/>
          <w:szCs w:val="28"/>
          <w:lang w:val="en-US" w:eastAsia="zh-CN"/>
        </w:rPr>
        <w:t>2、服务地点：</w:t>
      </w:r>
      <w:bookmarkEnd w:id="71"/>
      <w:r>
        <w:rPr>
          <w:rFonts w:hint="eastAsia" w:ascii="宋体" w:hAnsi="宋体" w:cs="宋体"/>
          <w:sz w:val="28"/>
          <w:szCs w:val="28"/>
          <w:lang w:val="en-US" w:eastAsia="zh-CN"/>
        </w:rPr>
        <w:t>采购人指定地点</w:t>
      </w:r>
    </w:p>
    <w:p w14:paraId="76BC15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72" w:name="_Toc1916"/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四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、付款方式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：</w:t>
      </w:r>
      <w:bookmarkEnd w:id="70"/>
      <w:bookmarkEnd w:id="72"/>
    </w:p>
    <w:p w14:paraId="62155843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  <w:highlight w:val="none"/>
          <w:lang w:val="zh-CN"/>
        </w:rPr>
      </w:pPr>
      <w:bookmarkStart w:id="73" w:name="_Toc25720"/>
      <w:r>
        <w:rPr>
          <w:rFonts w:hint="eastAsia" w:ascii="宋体" w:hAnsi="宋体"/>
          <w:sz w:val="28"/>
          <w:szCs w:val="28"/>
          <w:highlight w:val="none"/>
          <w:lang w:val="zh-CN"/>
        </w:rPr>
        <w:t>分期付款。</w:t>
      </w:r>
    </w:p>
    <w:p w14:paraId="0981AFFA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  <w:lang w:val="zh-CN"/>
        </w:rPr>
        <w:t>采购包1：付款条件说明： 按月支付服务费，每月服务期满，甲方对乙方食堂管理服务进行考核，达到付款条件起15日内，由甲方向乙方支付上月服务费，即每次支付的食堂服务费=合同总价÷12 个月－考核扣减金额。</w:t>
      </w:r>
    </w:p>
    <w:p w14:paraId="08BAEE47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74" w:name="_Toc32760"/>
      <w:r>
        <w:rPr>
          <w:rFonts w:hint="eastAsia" w:ascii="宋体" w:hAnsi="宋体" w:cs="宋体"/>
          <w:sz w:val="28"/>
          <w:szCs w:val="28"/>
          <w:lang w:eastAsia="zh-CN"/>
        </w:rPr>
        <w:t>五</w:t>
      </w:r>
      <w:r>
        <w:rPr>
          <w:rFonts w:hint="eastAsia" w:ascii="宋体" w:hAnsi="宋体" w:cs="宋体"/>
          <w:sz w:val="28"/>
          <w:szCs w:val="28"/>
        </w:rPr>
        <w:t>、质量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r>
        <w:rPr>
          <w:rFonts w:hint="eastAsia" w:ascii="宋体" w:hAnsi="宋体" w:cs="宋体"/>
          <w:sz w:val="28"/>
          <w:szCs w:val="28"/>
        </w:rPr>
        <w:t>要求</w:t>
      </w:r>
      <w:bookmarkEnd w:id="73"/>
      <w:bookmarkEnd w:id="74"/>
    </w:p>
    <w:p w14:paraId="6ABF2F96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bookmarkStart w:id="75" w:name="_Toc9089"/>
      <w:bookmarkStart w:id="76" w:name="_Toc23358"/>
      <w:bookmarkStart w:id="77" w:name="_Toc9414"/>
      <w:bookmarkStart w:id="78" w:name="_Toc26935"/>
      <w:bookmarkStart w:id="79" w:name="_Toc28927"/>
      <w:bookmarkStart w:id="80" w:name="_Toc26923"/>
      <w:bookmarkStart w:id="81" w:name="_Toc23664"/>
      <w:r>
        <w:rPr>
          <w:rFonts w:hint="eastAsia" w:ascii="宋体" w:hAnsi="宋体" w:cs="宋体"/>
          <w:sz w:val="28"/>
          <w:szCs w:val="28"/>
        </w:rPr>
        <w:t>（一）质量符合企业、行业、国家规定及</w:t>
      </w:r>
      <w:r>
        <w:rPr>
          <w:rFonts w:hint="eastAsia" w:ascii="宋体" w:hAnsi="宋体" w:cs="宋体"/>
          <w:sz w:val="28"/>
          <w:szCs w:val="28"/>
          <w:lang w:eastAsia="zh-CN"/>
        </w:rPr>
        <w:t>磋商文件</w:t>
      </w:r>
      <w:r>
        <w:rPr>
          <w:rFonts w:hint="eastAsia" w:ascii="宋体" w:hAnsi="宋体" w:cs="宋体"/>
          <w:sz w:val="28"/>
          <w:szCs w:val="28"/>
        </w:rPr>
        <w:t>相关要求。</w:t>
      </w:r>
    </w:p>
    <w:p w14:paraId="66871C87">
      <w:pPr>
        <w:widowControl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（二）技术专利等均应符合我国有关法律及行业标准，凡因以上问题与第三方发生的任何纠纷均与甲方无关。</w:t>
      </w:r>
    </w:p>
    <w:p w14:paraId="6172DABF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82" w:name="_Toc8189"/>
      <w:bookmarkStart w:id="83" w:name="_Toc17224"/>
      <w:r>
        <w:rPr>
          <w:rFonts w:hint="eastAsia" w:ascii="宋体" w:hAnsi="宋体" w:cs="宋体"/>
          <w:sz w:val="28"/>
          <w:szCs w:val="28"/>
          <w:lang w:val="en-US" w:eastAsia="zh-CN"/>
        </w:rPr>
        <w:t>六</w:t>
      </w:r>
      <w:r>
        <w:rPr>
          <w:rFonts w:hint="eastAsia" w:ascii="宋体" w:hAnsi="宋体" w:cs="宋体"/>
          <w:sz w:val="28"/>
          <w:szCs w:val="28"/>
        </w:rPr>
        <w:t>、技术</w:t>
      </w:r>
      <w:bookmarkEnd w:id="75"/>
      <w:bookmarkEnd w:id="76"/>
      <w:bookmarkEnd w:id="77"/>
      <w:bookmarkEnd w:id="78"/>
      <w:bookmarkEnd w:id="79"/>
      <w:bookmarkEnd w:id="80"/>
      <w:bookmarkEnd w:id="81"/>
      <w:r>
        <w:rPr>
          <w:rFonts w:hint="eastAsia" w:ascii="宋体" w:hAnsi="宋体" w:cs="宋体"/>
          <w:sz w:val="28"/>
          <w:szCs w:val="28"/>
        </w:rPr>
        <w:t>要求</w:t>
      </w:r>
      <w:bookmarkEnd w:id="82"/>
      <w:bookmarkEnd w:id="83"/>
    </w:p>
    <w:p w14:paraId="2FFDFB17">
      <w:pPr>
        <w:widowControl/>
        <w:snapToGrid w:val="0"/>
        <w:spacing w:line="360" w:lineRule="auto"/>
        <w:ind w:firstLine="560" w:firstLineChars="200"/>
        <w:outlineLvl w:val="1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bookmarkStart w:id="84" w:name="_Toc17325"/>
      <w:bookmarkStart w:id="85" w:name="_Toc17744"/>
      <w:bookmarkStart w:id="86" w:name="_Toc29402"/>
      <w:bookmarkStart w:id="87" w:name="_Toc27177"/>
      <w:bookmarkStart w:id="88" w:name="_Toc16064"/>
      <w:bookmarkStart w:id="89" w:name="_Toc23505"/>
      <w:bookmarkStart w:id="90" w:name="_Toc4073"/>
      <w:bookmarkStart w:id="91" w:name="_Toc5014"/>
      <w:bookmarkStart w:id="92" w:name="_Toc8370"/>
      <w:bookmarkStart w:id="93" w:name="_Toc21261"/>
      <w:bookmarkStart w:id="94" w:name="_Toc29149"/>
      <w:bookmarkStart w:id="95" w:name="_Toc27419"/>
      <w:bookmarkStart w:id="96" w:name="_Toc13588"/>
      <w:bookmarkStart w:id="97" w:name="_Toc9865"/>
      <w:bookmarkStart w:id="98" w:name="_Toc20301"/>
      <w:bookmarkStart w:id="99" w:name="_Toc12502"/>
      <w:bookmarkStart w:id="100" w:name="_Toc3584"/>
      <w:bookmarkStart w:id="101" w:name="_Toc16971"/>
      <w:bookmarkStart w:id="102" w:name="_Toc25783"/>
      <w:bookmarkStart w:id="103" w:name="_Toc5440"/>
      <w:bookmarkStart w:id="104" w:name="_Toc18659"/>
      <w:bookmarkStart w:id="105" w:name="_Toc14189"/>
      <w:bookmarkStart w:id="106" w:name="_Toc21103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根据本项目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采购要求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，提供满足采购人要求的服务。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14:paraId="2A8823F3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107" w:name="_Toc19045"/>
      <w:bookmarkStart w:id="108" w:name="_Toc7376"/>
      <w:bookmarkStart w:id="109" w:name="_Toc1341"/>
      <w:bookmarkStart w:id="110" w:name="_Toc16092"/>
      <w:bookmarkStart w:id="111" w:name="_Toc28580"/>
      <w:bookmarkStart w:id="112" w:name="_Toc8"/>
      <w:r>
        <w:rPr>
          <w:rFonts w:hint="eastAsia" w:ascii="宋体" w:hAnsi="宋体" w:cs="宋体"/>
          <w:sz w:val="28"/>
          <w:szCs w:val="28"/>
          <w:lang w:val="en-US" w:eastAsia="zh-CN"/>
        </w:rPr>
        <w:t>七</w:t>
      </w:r>
      <w:r>
        <w:rPr>
          <w:rFonts w:hint="eastAsia" w:ascii="宋体" w:hAnsi="宋体" w:cs="宋体"/>
          <w:sz w:val="28"/>
          <w:szCs w:val="28"/>
        </w:rPr>
        <w:t>、违约责任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14:paraId="7C2D7BA8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（一）按《中华人民共和国民法典》中的相关条款执行。</w:t>
      </w:r>
    </w:p>
    <w:p w14:paraId="6DE70FFF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（二）未按合同要求的提供项目质量不能满</w:t>
      </w:r>
      <w:bookmarkStart w:id="152" w:name="_GoBack"/>
      <w:bookmarkEnd w:id="152"/>
      <w:r>
        <w:rPr>
          <w:rFonts w:hint="eastAsia" w:ascii="宋体" w:hAnsi="宋体" w:cs="宋体"/>
          <w:sz w:val="28"/>
          <w:szCs w:val="28"/>
        </w:rPr>
        <w:t>足技术要求，采购人有权终止合同，甚至对供方违约行为进行追究。</w:t>
      </w:r>
    </w:p>
    <w:p w14:paraId="3AFD7C52">
      <w:pPr>
        <w:widowControl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</w:rPr>
        <w:t>供应商需确保食品经营许可证在合同签订及履行期间持续有效，否则采购人有权终止合同并要求赔偿。</w:t>
      </w:r>
    </w:p>
    <w:p w14:paraId="7C236675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  <w:lang w:val="zh-CN"/>
        </w:rPr>
      </w:pPr>
      <w:bookmarkStart w:id="113" w:name="_Toc23862"/>
      <w:bookmarkStart w:id="114" w:name="_Toc4327"/>
      <w:bookmarkStart w:id="115" w:name="_Toc24700"/>
      <w:bookmarkStart w:id="116" w:name="_Toc25236"/>
      <w:bookmarkStart w:id="117" w:name="_Toc1732"/>
      <w:bookmarkStart w:id="118" w:name="_Toc23085"/>
      <w:bookmarkStart w:id="119" w:name="_Toc991"/>
      <w:bookmarkStart w:id="120" w:name="_Toc12882"/>
      <w:bookmarkStart w:id="121" w:name="_Toc22708"/>
      <w:bookmarkStart w:id="122" w:name="_Toc20253"/>
      <w:r>
        <w:rPr>
          <w:rFonts w:hint="eastAsia" w:ascii="宋体" w:hAnsi="宋体" w:cs="宋体"/>
          <w:sz w:val="28"/>
          <w:szCs w:val="28"/>
          <w:lang w:val="en-US" w:eastAsia="zh-CN"/>
        </w:rPr>
        <w:t>八</w:t>
      </w:r>
      <w:r>
        <w:rPr>
          <w:rFonts w:hint="eastAsia" w:ascii="宋体" w:hAnsi="宋体" w:cs="宋体"/>
          <w:sz w:val="28"/>
          <w:szCs w:val="28"/>
          <w:lang w:val="zh-CN"/>
        </w:rPr>
        <w:t>、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r>
        <w:rPr>
          <w:rFonts w:hint="eastAsia" w:ascii="宋体" w:hAnsi="宋体" w:cs="宋体"/>
          <w:sz w:val="28"/>
          <w:szCs w:val="28"/>
          <w:lang w:val="zh-CN"/>
        </w:rPr>
        <w:t>验收</w:t>
      </w:r>
      <w:bookmarkEnd w:id="121"/>
      <w:bookmarkEnd w:id="122"/>
    </w:p>
    <w:p w14:paraId="4073DCE6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123" w:name="_Toc378"/>
      <w:bookmarkStart w:id="124" w:name="_Toc9962"/>
      <w:bookmarkStart w:id="125" w:name="_Toc22917"/>
      <w:bookmarkStart w:id="126" w:name="_Toc27991"/>
      <w:bookmarkStart w:id="127" w:name="_Toc11128"/>
      <w:bookmarkStart w:id="128" w:name="_Toc6342"/>
      <w:bookmarkStart w:id="129" w:name="_Toc24396"/>
      <w:bookmarkStart w:id="130" w:name="_Toc27878"/>
      <w:bookmarkStart w:id="131" w:name="_Toc23248"/>
      <w:r>
        <w:rPr>
          <w:rFonts w:hint="eastAsia" w:ascii="宋体" w:hAnsi="宋体" w:cs="宋体"/>
          <w:sz w:val="28"/>
          <w:szCs w:val="28"/>
        </w:rPr>
        <w:t>本项目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完成</w:t>
      </w:r>
      <w:r>
        <w:rPr>
          <w:rFonts w:hint="eastAsia" w:ascii="宋体" w:hAnsi="宋体" w:cs="宋体"/>
          <w:sz w:val="28"/>
          <w:szCs w:val="28"/>
        </w:rPr>
        <w:t>后由甲方组织验收，具体验收标准符合甲方要求。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14:paraId="11E07461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132" w:name="_Toc14103"/>
      <w:bookmarkStart w:id="133" w:name="_Toc25793"/>
      <w:bookmarkStart w:id="134" w:name="_Toc9439"/>
      <w:bookmarkStart w:id="135" w:name="_Toc23558"/>
      <w:bookmarkStart w:id="136" w:name="_Toc16165"/>
      <w:bookmarkStart w:id="137" w:name="_Toc29597"/>
      <w:bookmarkStart w:id="138" w:name="_Toc19286"/>
      <w:bookmarkStart w:id="139" w:name="_Toc9738"/>
      <w:bookmarkStart w:id="140" w:name="_Toc21386"/>
      <w:bookmarkStart w:id="141" w:name="_Toc27711"/>
      <w:bookmarkStart w:id="142" w:name="_Toc21405"/>
      <w:bookmarkStart w:id="143" w:name="_Toc29475"/>
      <w:bookmarkStart w:id="144" w:name="_Toc16533"/>
      <w:bookmarkStart w:id="145" w:name="_Toc24825"/>
      <w:bookmarkStart w:id="146" w:name="_Toc21089"/>
      <w:bookmarkStart w:id="147" w:name="_Toc10938"/>
      <w:bookmarkStart w:id="148" w:name="_Toc30589"/>
      <w:bookmarkStart w:id="149" w:name="_Toc18744"/>
      <w:bookmarkStart w:id="150" w:name="_Toc15912"/>
      <w:bookmarkStart w:id="151" w:name="_Toc4590"/>
      <w:r>
        <w:rPr>
          <w:rFonts w:hint="eastAsia" w:ascii="宋体" w:hAnsi="宋体" w:cs="宋体"/>
          <w:sz w:val="28"/>
          <w:szCs w:val="28"/>
          <w:lang w:val="en-US" w:eastAsia="zh-CN"/>
        </w:rPr>
        <w:t>九</w:t>
      </w:r>
      <w:r>
        <w:rPr>
          <w:rFonts w:hint="eastAsia" w:ascii="宋体" w:hAnsi="宋体" w:cs="宋体"/>
          <w:sz w:val="28"/>
          <w:szCs w:val="28"/>
        </w:rPr>
        <w:t>、其他事项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14:paraId="058755D3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（一）采购人监督部门在合同的履行期间以及履行期后，可以随时检查项目的执行情况，对采购内容进行调查核实，并对发现的问题进行处理。</w:t>
      </w:r>
    </w:p>
    <w:p w14:paraId="3723B16A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（二）本合同一式</w:t>
      </w:r>
      <w:r>
        <w:rPr>
          <w:rFonts w:hint="eastAsia" w:ascii="宋体" w:hAnsi="宋体" w:cs="宋体"/>
          <w:sz w:val="28"/>
          <w:szCs w:val="28"/>
          <w:u w:val="single"/>
        </w:rPr>
        <w:t>六</w:t>
      </w:r>
      <w:r>
        <w:rPr>
          <w:rFonts w:hint="eastAsia" w:ascii="宋体" w:hAnsi="宋体" w:cs="宋体"/>
          <w:sz w:val="28"/>
          <w:szCs w:val="28"/>
        </w:rPr>
        <w:t>份，甲方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四 </w:t>
      </w:r>
      <w:r>
        <w:rPr>
          <w:rFonts w:hint="eastAsia" w:ascii="宋体" w:hAnsi="宋体" w:cs="宋体"/>
          <w:sz w:val="28"/>
          <w:szCs w:val="28"/>
        </w:rPr>
        <w:t>份，乙方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二 </w:t>
      </w:r>
      <w:r>
        <w:rPr>
          <w:rFonts w:hint="eastAsia" w:ascii="宋体" w:hAnsi="宋体" w:cs="宋体"/>
          <w:sz w:val="28"/>
          <w:szCs w:val="28"/>
        </w:rPr>
        <w:t xml:space="preserve"> 份，甲乙双方签字盖章后生效。</w:t>
      </w:r>
    </w:p>
    <w:p w14:paraId="217DC5C2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（三）</w:t>
      </w:r>
      <w:r>
        <w:rPr>
          <w:rFonts w:hint="eastAsia" w:ascii="宋体" w:hAnsi="宋体" w:cs="宋体"/>
          <w:sz w:val="28"/>
          <w:szCs w:val="28"/>
          <w:lang w:eastAsia="zh-CN"/>
        </w:rPr>
        <w:t>磋商文件</w:t>
      </w:r>
      <w:r>
        <w:rPr>
          <w:rFonts w:hint="eastAsia" w:ascii="宋体" w:hAnsi="宋体" w:cs="宋体"/>
          <w:sz w:val="28"/>
          <w:szCs w:val="28"/>
        </w:rPr>
        <w:t>、响应文件也是合同的组成部分，合同中未约定的以</w:t>
      </w:r>
      <w:r>
        <w:rPr>
          <w:rFonts w:hint="eastAsia" w:ascii="宋体" w:hAnsi="宋体" w:cs="宋体"/>
          <w:sz w:val="28"/>
          <w:szCs w:val="28"/>
          <w:lang w:eastAsia="zh-CN"/>
        </w:rPr>
        <w:t>磋商文件</w:t>
      </w:r>
      <w:r>
        <w:rPr>
          <w:rFonts w:hint="eastAsia" w:ascii="宋体" w:hAnsi="宋体" w:cs="宋体"/>
          <w:sz w:val="28"/>
          <w:szCs w:val="28"/>
        </w:rPr>
        <w:t>、响应文件为准。</w:t>
      </w:r>
    </w:p>
    <w:p w14:paraId="22F8A303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（四）未尽事宜双方共同协商制定。</w:t>
      </w:r>
    </w:p>
    <w:p w14:paraId="27130485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合同签订地点：   </w:t>
      </w:r>
    </w:p>
    <w:p w14:paraId="349B8B2E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合同签订时间：    年   月    日</w:t>
      </w:r>
    </w:p>
    <w:p w14:paraId="33CCB500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甲    方                           乙    方</w:t>
      </w:r>
    </w:p>
    <w:p w14:paraId="66452AA6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单位名称：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单位名称： </w:t>
      </w:r>
    </w:p>
    <w:p w14:paraId="73A0A5AB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地   址：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地    址：</w:t>
      </w:r>
    </w:p>
    <w:p w14:paraId="713B5137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法人代表：                         法人代表： </w:t>
      </w:r>
    </w:p>
    <w:p w14:paraId="12A688CD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联系电话：      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联系电话： </w:t>
      </w:r>
    </w:p>
    <w:p w14:paraId="4FE76E4E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开 户 行：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开 户 行： </w:t>
      </w:r>
    </w:p>
    <w:p w14:paraId="7C522A00">
      <w:pPr>
        <w:ind w:firstLine="560" w:firstLineChars="200"/>
      </w:pPr>
      <w:r>
        <w:rPr>
          <w:rFonts w:hint="eastAsia" w:ascii="宋体" w:hAnsi="宋体" w:cs="宋体"/>
          <w:sz w:val="28"/>
          <w:szCs w:val="28"/>
        </w:rPr>
        <w:t xml:space="preserve">账    号：    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账    号：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zNjRkZjExMjVjYTQ5YjQ1OTllYmM0NDFjMmMwZDIifQ=="/>
  </w:docVars>
  <w:rsids>
    <w:rsidRoot w:val="00000000"/>
    <w:rsid w:val="1A0412E1"/>
    <w:rsid w:val="57580059"/>
    <w:rsid w:val="61EA6F8D"/>
    <w:rsid w:val="6CC7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List Paragraph"/>
    <w:basedOn w:val="1"/>
    <w:qFormat/>
    <w:uiPriority w:val="34"/>
    <w:pPr>
      <w:ind w:firstLine="420" w:firstLineChars="200"/>
    </w:pPr>
    <w:rPr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930</Words>
  <Characters>935</Characters>
  <Lines>0</Lines>
  <Paragraphs>0</Paragraphs>
  <TotalTime>0</TotalTime>
  <ScaleCrop>false</ScaleCrop>
  <LinksUpToDate>false</LinksUpToDate>
  <CharactersWithSpaces>1166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2024-09-10T06:16:00Z</dcterms:created>
  <dc:creator>Administrator</dc:creator>
  <cp:lastModifiedBy>孙辰宇</cp:lastModifiedBy>
  <dcterms:modified xsi:type="dcterms:W3CDTF">2025-09-15T05:38:31Z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9C145C9D633E4143A2E50545040F1E59_12</vt:lpwstr>
  </property>
  <property fmtid="{D5CDD505-2E9C-101B-9397-08002B2CF9AE}" pid="4" name="KSOTemplateDocerSaveRecord">
    <vt:lpwstr>eyJoZGlkIjoiNWJiMzJlNzgxNmFlMjY0ZDRmZTYwOGIyZWY1NmRlNWYiLCJ1c2VySWQiOiI0NjIwMzMyNDgifQ==</vt:lpwstr>
  </property>
</Properties>
</file>