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版本号：SXZHZB2025-ZC038-CS20251009001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交易咨询服务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SXZHZB2025-ZC038-CS</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交易咨询服务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SXZHZB2025-ZC038-CS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交易咨询服务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公共资源交易中心作为全市公共资源交易平台的运行服务机构，每年组织交易活动约4000余项,兼具交易量大、交易领域广、交易工作专业性强、各业务程序具有法定要求等特点。为了保证各项业务依法定程序开展,方便各交易主体及时了解办事流程、交易要求、场地安排、专家抽取、交易进程等信息，不断提高服务质量、优化营商环境，本次采购交易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采购包1（交易咨询服务）：属于专门面向中小企业采购。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 ：法定代表人授权书（附法定代表人、被授权人身份证复印件）（法定代表人直接参加磋商，须提供法定代表人身份证明）；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公共资源交易中心作为全市公共资源交易平台的运行服务机构，每年组织交易活动约4000余项,兼具交易量大、交易领域广、交易工作专业性强、各业务程序具有法定要求等特点。为了保证各项业务依法定程序开展,方便各交易主体及时了解办事流程、交易要求、场地安排、专家抽取、交易进程等信息，不断提高服务质量、优化营商环境，本次采购交易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交易咨询服务</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标的名称：交易咨询服务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咨询服务场所：西安市公共资源交易中心办公地白桦林国际B座1-11层</w:t>
            </w:r>
          </w:p>
          <w:p>
            <w:pPr>
              <w:pStyle w:val="null3"/>
            </w:pPr>
            <w:r>
              <w:rPr>
                <w:rFonts w:ascii="仿宋_GB2312" w:hAnsi="仿宋_GB2312" w:cs="仿宋_GB2312" w:eastAsia="仿宋_GB2312"/>
              </w:rPr>
              <w:t>1、1楼接待大厅前台；</w:t>
            </w:r>
          </w:p>
          <w:p>
            <w:pPr>
              <w:pStyle w:val="null3"/>
            </w:pPr>
            <w:r>
              <w:rPr>
                <w:rFonts w:ascii="仿宋_GB2312" w:hAnsi="仿宋_GB2312" w:cs="仿宋_GB2312" w:eastAsia="仿宋_GB2312"/>
              </w:rPr>
              <w:t>2、2楼办事窗口、土地拍卖大厅、保证金室；</w:t>
            </w:r>
          </w:p>
          <w:p>
            <w:pPr>
              <w:pStyle w:val="null3"/>
            </w:pPr>
            <w:r>
              <w:rPr>
                <w:rFonts w:ascii="仿宋_GB2312" w:hAnsi="仿宋_GB2312" w:cs="仿宋_GB2312" w:eastAsia="仿宋_GB2312"/>
              </w:rPr>
              <w:t>3、3楼、5楼开标区域；</w:t>
            </w:r>
          </w:p>
          <w:p>
            <w:pPr>
              <w:pStyle w:val="null3"/>
            </w:pPr>
            <w:r>
              <w:rPr>
                <w:rFonts w:ascii="仿宋_GB2312" w:hAnsi="仿宋_GB2312" w:cs="仿宋_GB2312" w:eastAsia="仿宋_GB2312"/>
              </w:rPr>
              <w:t>4、7至8楼办公区域；</w:t>
            </w:r>
          </w:p>
          <w:p>
            <w:pPr>
              <w:pStyle w:val="null3"/>
            </w:pPr>
            <w:r>
              <w:rPr>
                <w:rFonts w:ascii="仿宋_GB2312" w:hAnsi="仿宋_GB2312" w:cs="仿宋_GB2312" w:eastAsia="仿宋_GB2312"/>
              </w:rPr>
              <w:t>5、6楼、9-11楼评标区域。</w:t>
            </w:r>
          </w:p>
          <w:p>
            <w:pPr>
              <w:pStyle w:val="null3"/>
            </w:pPr>
            <w:r>
              <w:rPr>
                <w:rFonts w:ascii="仿宋_GB2312" w:hAnsi="仿宋_GB2312" w:cs="仿宋_GB2312" w:eastAsia="仿宋_GB2312"/>
              </w:rPr>
              <w:t>6、8楼咨询总值班室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提供咨询服务内容</w:t>
            </w:r>
          </w:p>
          <w:p>
            <w:pPr>
              <w:pStyle w:val="null3"/>
            </w:pPr>
            <w:r>
              <w:rPr>
                <w:rFonts w:ascii="仿宋_GB2312" w:hAnsi="仿宋_GB2312" w:cs="仿宋_GB2312" w:eastAsia="仿宋_GB2312"/>
              </w:rPr>
              <w:t>1、楼层指示及引导；</w:t>
            </w:r>
          </w:p>
          <w:p>
            <w:pPr>
              <w:pStyle w:val="null3"/>
            </w:pPr>
            <w:r>
              <w:rPr>
                <w:rFonts w:ascii="仿宋_GB2312" w:hAnsi="仿宋_GB2312" w:cs="仿宋_GB2312" w:eastAsia="仿宋_GB2312"/>
              </w:rPr>
              <w:t>2、各类交易业务办事流程咨询；</w:t>
            </w:r>
          </w:p>
          <w:p>
            <w:pPr>
              <w:pStyle w:val="null3"/>
            </w:pPr>
            <w:r>
              <w:rPr>
                <w:rFonts w:ascii="仿宋_GB2312" w:hAnsi="仿宋_GB2312" w:cs="仿宋_GB2312" w:eastAsia="仿宋_GB2312"/>
              </w:rPr>
              <w:t>3、各类交易活动要求及现场管理规定咨询；</w:t>
            </w:r>
          </w:p>
          <w:p>
            <w:pPr>
              <w:pStyle w:val="null3"/>
            </w:pPr>
            <w:r>
              <w:rPr>
                <w:rFonts w:ascii="仿宋_GB2312" w:hAnsi="仿宋_GB2312" w:cs="仿宋_GB2312" w:eastAsia="仿宋_GB2312"/>
              </w:rPr>
              <w:t>4、交易项目场地安排及交易项目专家抽取事宜咨询；</w:t>
            </w:r>
          </w:p>
          <w:p>
            <w:pPr>
              <w:pStyle w:val="null3"/>
            </w:pPr>
            <w:r>
              <w:rPr>
                <w:rFonts w:ascii="仿宋_GB2312" w:hAnsi="仿宋_GB2312" w:cs="仿宋_GB2312" w:eastAsia="仿宋_GB2312"/>
              </w:rPr>
              <w:t>5、交易项目进程咨询；</w:t>
            </w:r>
          </w:p>
          <w:p>
            <w:pPr>
              <w:pStyle w:val="null3"/>
            </w:pPr>
            <w:r>
              <w:rPr>
                <w:rFonts w:ascii="仿宋_GB2312" w:hAnsi="仿宋_GB2312" w:cs="仿宋_GB2312" w:eastAsia="仿宋_GB2312"/>
              </w:rPr>
              <w:t>6、各类自助服务设备使用咨询。</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提供咨询服务形式</w:t>
            </w:r>
          </w:p>
          <w:p>
            <w:pPr>
              <w:pStyle w:val="null3"/>
            </w:pPr>
            <w:r>
              <w:rPr>
                <w:rFonts w:ascii="仿宋_GB2312" w:hAnsi="仿宋_GB2312" w:cs="仿宋_GB2312" w:eastAsia="仿宋_GB2312"/>
              </w:rPr>
              <w:t>1、电话咨询</w:t>
            </w:r>
          </w:p>
          <w:p>
            <w:pPr>
              <w:pStyle w:val="null3"/>
            </w:pPr>
            <w:r>
              <w:rPr>
                <w:rFonts w:ascii="仿宋_GB2312" w:hAnsi="仿宋_GB2312" w:cs="仿宋_GB2312" w:eastAsia="仿宋_GB2312"/>
              </w:rPr>
              <w:t>2、现场咨询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服务要求</w:t>
            </w:r>
          </w:p>
          <w:p>
            <w:pPr>
              <w:pStyle w:val="null3"/>
            </w:pPr>
            <w:r>
              <w:rPr>
                <w:rFonts w:ascii="仿宋_GB2312" w:hAnsi="仿宋_GB2312" w:cs="仿宋_GB2312" w:eastAsia="仿宋_GB2312"/>
              </w:rPr>
              <w:t>2025年交易咨询服务不少于19人，其中管理人员1人，工作人员不少于18人，年龄35岁以下，其中：1楼接待前台2人，2楼办事窗口1人、土地拍卖大厅1人，3楼开标室1人，5楼开标室1人，6楼评标室2人，7、8楼会议服务1人，9楼评标室2人，10楼评标室2人，11楼评标室2人，隔夜标1人，咨询总值班室2人（女性）。</w:t>
            </w:r>
          </w:p>
          <w:p>
            <w:pPr>
              <w:pStyle w:val="null3"/>
            </w:pPr>
            <w:r>
              <w:rPr>
                <w:rFonts w:ascii="仿宋_GB2312" w:hAnsi="仿宋_GB2312" w:cs="仿宋_GB2312" w:eastAsia="仿宋_GB2312"/>
              </w:rPr>
              <w:t>1、熟悉国家、省、市关于公共资源交易有关政策法规，以及国家、省、市发布的关于公共资源交易服务标准和要求。</w:t>
            </w:r>
          </w:p>
          <w:p>
            <w:pPr>
              <w:pStyle w:val="null3"/>
            </w:pPr>
            <w:r>
              <w:rPr>
                <w:rFonts w:ascii="仿宋_GB2312" w:hAnsi="仿宋_GB2312" w:cs="仿宋_GB2312" w:eastAsia="仿宋_GB2312"/>
              </w:rPr>
              <w:t>2、熟悉全省统一的各类公共资源交易自助服务设备的使用方法。</w:t>
            </w:r>
          </w:p>
          <w:p>
            <w:pPr>
              <w:pStyle w:val="null3"/>
            </w:pPr>
            <w:r>
              <w:rPr>
                <w:rFonts w:ascii="仿宋_GB2312" w:hAnsi="仿宋_GB2312" w:cs="仿宋_GB2312" w:eastAsia="仿宋_GB2312"/>
              </w:rPr>
              <w:t>3、严格按照国家、省、市有关标准和要求，提供规范、标准的咨询服务。</w:t>
            </w:r>
          </w:p>
          <w:p>
            <w:pPr>
              <w:pStyle w:val="null3"/>
            </w:pPr>
            <w:r>
              <w:rPr>
                <w:rFonts w:ascii="仿宋_GB2312" w:hAnsi="仿宋_GB2312" w:cs="仿宋_GB2312" w:eastAsia="仿宋_GB2312"/>
              </w:rPr>
              <w:t>4、按照国家、省、市相关政策、法律的规定和要求，严格执行相关保密制度。</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违反保密制度处罚</w:t>
            </w:r>
          </w:p>
          <w:p>
            <w:pPr>
              <w:pStyle w:val="null3"/>
            </w:pPr>
            <w:r>
              <w:rPr>
                <w:rFonts w:ascii="仿宋_GB2312" w:hAnsi="仿宋_GB2312" w:cs="仿宋_GB2312" w:eastAsia="仿宋_GB2312"/>
              </w:rPr>
              <w:t>1、供应商工作人员违反相关保密制度未造成严重不良后果的，对供应商第一次罚款50000-100000元，第二次采购人可以单方无条件解除合同，不再支付供应商解除合同之日以后服务期费用，处以供应商已提供服务期费用50%的罚款，并保留追究供应商及相关人员法律责任的权利。</w:t>
            </w:r>
          </w:p>
          <w:p>
            <w:pPr>
              <w:pStyle w:val="null3"/>
            </w:pPr>
            <w:r>
              <w:rPr>
                <w:rFonts w:ascii="仿宋_GB2312" w:hAnsi="仿宋_GB2312" w:cs="仿宋_GB2312" w:eastAsia="仿宋_GB2312"/>
              </w:rPr>
              <w:t>2、供应商工作人员违反相关保密制度造成严重不良后果的，采购人可以单方无条件立即解除合同，不再支付供应商解除合同之日以后服务期费用，对供应商处以已提供服务期费用100%的罚款，并保留追究供应商及相关人员法律责任的权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等所有福利待遇）、耗材工具费、管理费、不可预见费用、利润、税金等其他一切相关费用。任何有选择的报价将不予接受，否则按无效磋商处理。 （2）项目属性：服务。 （3）本项目所属行业为：租赁和商务服务业,根据《工业和信息化部 国家统计局国家发展和改革委员会 财政部关于印发中小企业划型标准规定的通知》（工信部联企业〔2011〕300号)规定的划分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商务条款偏离表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标的清单 商务条款偏离表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评审小组根据各供应商响应文件中针对本项目的服务方案进行自主赋分。 1、对本项目总体服务的理解深刻、分析全面、服务方案完整、合理、有针对性、整体方案工作思路清晰、方法先进、技术路线明确、任务分解合理，得7-10分； 2、对本项目总体服务的理解较深刻、分析较全面、服务方案较完整、较合理、较有针对性、整体方案工作思路较清晰、方法较先进、技术路线较明确、任务分解较合理，得4-7分； 3、对本项目总体服务的理解和分析一般、服务方案一般、整体方案一般，工作思路、方法、技术路线、任务分解较简单，得0-4分。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项目背景解读与目的意义理解</w:t>
            </w:r>
          </w:p>
        </w:tc>
        <w:tc>
          <w:tcPr>
            <w:tcW w:type="dxa" w:w="2492"/>
          </w:tcPr>
          <w:p>
            <w:pPr>
              <w:pStyle w:val="null3"/>
            </w:pPr>
            <w:r>
              <w:rPr>
                <w:rFonts w:ascii="仿宋_GB2312" w:hAnsi="仿宋_GB2312" w:cs="仿宋_GB2312" w:eastAsia="仿宋_GB2312"/>
              </w:rPr>
              <w:t>1、对本项目的实施背景、工作目的、目标及内容解读到位、理解全面、深入，对现行公共资源交易相关政策进行梳理并总结，得7-10分； 2、对本项目的实施背景、工作目的、目标及内容有一定的理解，了解公共资源交易相关政策，得4-7分。 3、对本项目的实施背景、工作目的、目标及内容理解偏差较大，不利于项目实施，得0-4分。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1、正确识别本项目关键点及重难点，逐条列出且分析全面、具体、透彻，解决对策针对性强的，得7-10分； 2、对关键点、重难点的分析较全面，但不够具体和透彻，解决对策较合理可行的，得4-7分； 3、有关键点、重难点分析及解决对策，但描述不具体的，得0-4分。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1、管理人员、会议服务人员、咨询人员等人员配置，职业资格、资历、年龄、知识结构、从业经历、负责各项内容的经验等搭配合理、满足项目需求，总体实力较强的，得10-15分； 2、管理人员、会议服务人员、咨询人员等人员配置，职业资格、资历、年龄、知识结构、从业经历、负责各项内容的经验等搭配基本合理，可满足项目需求的，得5-10分； 3、管理人员、会议服务人员、咨询人员等人员配置，职业资格、资历、年龄、知识结构、从业经历、负责各项内容的经验等搭配不合理，难以满足项目需求的，得0-5分。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为本项目制定完整可行的实施计划、质量保障体系等，具备完善的内部管理架构、工作流程、考核制度、激励机制、信息反馈渠道等。根据响应文件中所述内容的全面性、完整性、科学性赋分。 1、提供详细完善、科学的质量保障体系等，得7-10分； 2、提供较简单、合理的质量保障体系等，得4-7分。 3、提供材料不完整，与项目实际实施不符，得0-4分。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对项目服务工作有完善的保密、廉洁措施，措施内容完整、详细，得7-10分； 措施内容较完整、详细，得4-7分； 措施内容不完整，与项目实施不相关出入较大，得0-4分。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供应商须提供本单位组织专家无条件开展突发事故类应急管理技术咨询服务的方案，方案内容详细、可操作性强，得3-5分； 方案内容较详细、可操作性较强，得2-3分； 方案不完整，与项目实施不相关出入较大，得0-2分。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提供完善的服务保证方案，能有效地保障项目实施过程的衔接、保证项目质量，确保每个项目顺利实施，方案内容全面、具有可操作性、安全性强，得3-5分； 方案内容较全面、可操作性一般、安全性一般，得2-3分； 不完整，与项目实施不相关出入较大，得0-2分。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充分理解本项目目标及内容，对本项目的开展和顺利实施提出合理化建议，内容全面、可操作性强、符合采购人需求，得3-5分； 内容较全面、可操作性较强、符合采购人需求，得2-3分； 内容不完整，与项目实施不相关出入较大，得0-2分。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供应商近三年（2022年1月至今，以签订合同时间或中标通知书落款时间为准）具有类似项目业绩，每提供一个得5分，最高得10分。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