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版本号：GCCS25--03120251013002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渭河西安城市段堤防安全防护工程项目设计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GCCS25--031</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渭河西安城市段堤防安全防护工程项目设计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渭河西安城市段堤防安全防护工程项目设计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河西安城市段堤防安全防护工程项目设计主要内容包括：遵循相应的设计原则，结合场地具体情况，设计绿色围网、钢筋石笼、防浪石等堤防安全防护设施；需满足的要求:符合国家、地方、水利行业设计相关规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采购包1（渭河西安城市段堤防安全防护工程项目设计）：属于专门面向中小企业采购。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1、供应商特定资格要求：供应商应具备工程设计综合资质甲级或工程设计水利行业乙级以上（含乙级）资质。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西安市未央区河堤路（西安湖西南侧约250米）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代理服务费收费标准：采购代理服务费用按照定额6000元收取。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符合国家、地方、水利行业设计相关规范，符合采购人相关要求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河西安城市段堤防安全防护工程项目设计主要内容包括：遵循相应的设计原则，结合场地具体情况，设计绿色围网、钢筋石笼、防浪石等堤防安全防护设施；需满足的要求:符合国家、地方、水利行业设计相关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渭河西安城市段堤防安全防护工程项目设计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标的名称：渭河西安城市段堤防安全防护工程项目设计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渭河作为陕西的母亲河，其治理一直备受关注。在</w:t>
            </w:r>
            <w:r>
              <w:rPr>
                <w:rFonts w:ascii="仿宋_GB2312" w:hAnsi="仿宋_GB2312" w:cs="仿宋_GB2312" w:eastAsia="仿宋_GB2312"/>
                <w:sz w:val="21"/>
              </w:rPr>
              <w:t>2008年以前，渭河治理主要以防洪保安为主，2008年西安市政府率先开始对渭河西安城市段进行综合整治。2010年陕西省水利厅编制完成了《陕西省渭河全线整治规划及实施方案》，拉开了陕西省渭河全线综合整治的序幕，经过了近十年的探索和实践，先后完成了堤防建设、护堤林建设和部分滩区治理工程，渭河西安市段河流面貌焕然一新。近几年来渭河西安城市段堤防游客数量逐年递增在日常管理中发现，由于开放式的管理环境，导致游人、摩托车等无序下河，对堤防迎水坡面造成破坏，汛期清滩难度陡增，安全管理形势严峻等问题。</w:t>
            </w:r>
          </w:p>
          <w:p>
            <w:pPr>
              <w:pStyle w:val="null3"/>
              <w:ind w:firstLine="420"/>
              <w:jc w:val="both"/>
            </w:pPr>
            <w:r>
              <w:rPr>
                <w:rFonts w:ascii="仿宋_GB2312" w:hAnsi="仿宋_GB2312" w:cs="仿宋_GB2312" w:eastAsia="仿宋_GB2312"/>
                <w:sz w:val="21"/>
              </w:rPr>
              <w:t>本工程位于渭河西安城市段堤防南岸迎水侧坡脚全段，西至西咸交界，东至灞渭桥，南至渭河大堤坡脚，北至渭河主槽的南岸滩地，长度约</w:t>
            </w:r>
            <w:r>
              <w:rPr>
                <w:rFonts w:ascii="仿宋_GB2312" w:hAnsi="仿宋_GB2312" w:cs="仿宋_GB2312" w:eastAsia="仿宋_GB2312"/>
                <w:sz w:val="21"/>
              </w:rPr>
              <w:t>24.8km。</w:t>
            </w:r>
          </w:p>
          <w:p>
            <w:pPr>
              <w:pStyle w:val="null3"/>
              <w:ind w:firstLine="420"/>
              <w:jc w:val="both"/>
            </w:pPr>
            <w:r>
              <w:rPr>
                <w:rFonts w:ascii="仿宋_GB2312" w:hAnsi="仿宋_GB2312" w:cs="仿宋_GB2312" w:eastAsia="仿宋_GB2312"/>
                <w:sz w:val="21"/>
              </w:rPr>
              <w:t>目前，渭河西安城市段整体景观良好，但随着渭河生态区环境日益改善，游客数量逐年递增，在日常管理中发现如下问题</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①渭河西安城市段下堤道路众多，汛期降雨时，工作人员清滩任务难度大;</w:t>
            </w:r>
          </w:p>
          <w:p>
            <w:pPr>
              <w:pStyle w:val="null3"/>
              <w:ind w:firstLine="420"/>
              <w:jc w:val="both"/>
            </w:pPr>
            <w:r>
              <w:rPr>
                <w:rFonts w:ascii="仿宋_GB2312" w:hAnsi="仿宋_GB2312" w:cs="仿宋_GB2312" w:eastAsia="仿宋_GB2312"/>
                <w:sz w:val="21"/>
              </w:rPr>
              <w:t>②渭河大堤堤坡、道路可随意出入，近几年成为飙车族的练车场所，导致堤坡草皮损坏、笼石裸露等安全隐患:</w:t>
            </w:r>
          </w:p>
          <w:p>
            <w:pPr>
              <w:pStyle w:val="null3"/>
              <w:ind w:firstLine="420"/>
              <w:jc w:val="both"/>
            </w:pPr>
            <w:r>
              <w:rPr>
                <w:rFonts w:ascii="仿宋_GB2312" w:hAnsi="仿宋_GB2312" w:cs="仿宋_GB2312" w:eastAsia="仿宋_GB2312"/>
                <w:sz w:val="21"/>
              </w:rPr>
              <w:t>③安全管理难度大，滩区内存在电鱼、网鱼、游泳、戏水等危险行为;</w:t>
            </w:r>
          </w:p>
          <w:p>
            <w:pPr>
              <w:pStyle w:val="null3"/>
              <w:ind w:firstLine="420"/>
              <w:jc w:val="both"/>
            </w:pPr>
            <w:r>
              <w:rPr>
                <w:rFonts w:ascii="仿宋_GB2312" w:hAnsi="仿宋_GB2312" w:cs="仿宋_GB2312" w:eastAsia="仿宋_GB2312"/>
                <w:sz w:val="21"/>
              </w:rPr>
              <w:t>④堤防沿岸绿化设施破坏严重，并存在公共设施丢失情况。</w:t>
            </w:r>
          </w:p>
          <w:p>
            <w:pPr>
              <w:pStyle w:val="null3"/>
              <w:ind w:firstLine="420"/>
              <w:jc w:val="both"/>
            </w:pPr>
            <w:r>
              <w:rPr>
                <w:rFonts w:ascii="仿宋_GB2312" w:hAnsi="仿宋_GB2312" w:cs="仿宋_GB2312" w:eastAsia="仿宋_GB2312"/>
                <w:sz w:val="21"/>
              </w:rPr>
              <w:t>为解决现状存在的以上问题，计划安全防护隔离绿网、设置钢筋石笼及四角锥防浪石，对现状已成安全防护设施进行提升并在未设置防护段落新增防护设施，使渭河西安城市段堤防沿岸更加便于日常管理。</w:t>
            </w:r>
          </w:p>
          <w:p>
            <w:pPr>
              <w:pStyle w:val="null3"/>
              <w:jc w:val="both"/>
            </w:pPr>
            <w:r>
              <w:rPr>
                <w:rFonts w:ascii="仿宋_GB2312" w:hAnsi="仿宋_GB2312" w:cs="仿宋_GB2312" w:eastAsia="仿宋_GB2312"/>
                <w:sz w:val="21"/>
                <w:b/>
              </w:rPr>
              <w:t>二、工程概况</w:t>
            </w:r>
          </w:p>
          <w:p>
            <w:pPr>
              <w:pStyle w:val="null3"/>
              <w:ind w:firstLine="420"/>
              <w:jc w:val="both"/>
            </w:pPr>
            <w:r>
              <w:rPr>
                <w:rFonts w:ascii="仿宋_GB2312" w:hAnsi="仿宋_GB2312" w:cs="仿宋_GB2312" w:eastAsia="仿宋_GB2312"/>
                <w:sz w:val="21"/>
              </w:rPr>
              <w:t>本工程位于渭河西安城市段堤防南岸迎水侧坡脚全段，西至西咸交界，东至灞渭桥，南至渭河大堤坡脚，北至渭河主槽的南岸滩地，长度约</w:t>
            </w:r>
            <w:r>
              <w:rPr>
                <w:rFonts w:ascii="仿宋_GB2312" w:hAnsi="仿宋_GB2312" w:cs="仿宋_GB2312" w:eastAsia="仿宋_GB2312"/>
                <w:sz w:val="21"/>
              </w:rPr>
              <w:t>24.8km。工程建设内容：全线设置绿色围网，围网高度2.0m，长度22.37km;②在未治理滩区段设置钢筋石笼，长度5.99km;③在灞渭桥三河一山绿道下穿段设置四角锥防浪石，总长度0.59km等，项目估算静态总投资655.66万元。</w:t>
            </w:r>
          </w:p>
          <w:p>
            <w:pPr>
              <w:pStyle w:val="null3"/>
              <w:jc w:val="both"/>
            </w:pPr>
            <w:r>
              <w:rPr>
                <w:rFonts w:ascii="仿宋_GB2312" w:hAnsi="仿宋_GB2312" w:cs="仿宋_GB2312" w:eastAsia="仿宋_GB2312"/>
                <w:sz w:val="21"/>
                <w:b/>
              </w:rPr>
              <w:t>三、设计依据及标准。</w:t>
            </w:r>
          </w:p>
          <w:p>
            <w:pPr>
              <w:pStyle w:val="null3"/>
              <w:ind w:firstLine="420"/>
              <w:jc w:val="both"/>
            </w:pPr>
            <w:r>
              <w:rPr>
                <w:rFonts w:ascii="仿宋_GB2312" w:hAnsi="仿宋_GB2312" w:cs="仿宋_GB2312" w:eastAsia="仿宋_GB2312"/>
                <w:sz w:val="21"/>
              </w:rPr>
              <w:t>符合国家和地方现行的有关规范及本项目采购需求中的相关要求</w:t>
            </w:r>
          </w:p>
          <w:p>
            <w:pPr>
              <w:pStyle w:val="null3"/>
              <w:jc w:val="both"/>
            </w:pPr>
            <w:r>
              <w:rPr>
                <w:rFonts w:ascii="仿宋_GB2312" w:hAnsi="仿宋_GB2312" w:cs="仿宋_GB2312" w:eastAsia="仿宋_GB2312"/>
                <w:sz w:val="21"/>
                <w:b/>
              </w:rPr>
              <w:t>四、设计原则及要求</w:t>
            </w:r>
          </w:p>
          <w:p>
            <w:pPr>
              <w:pStyle w:val="null3"/>
              <w:ind w:firstLine="420"/>
              <w:jc w:val="both"/>
            </w:pPr>
            <w:r>
              <w:rPr>
                <w:rFonts w:ascii="仿宋_GB2312" w:hAnsi="仿宋_GB2312" w:cs="仿宋_GB2312" w:eastAsia="仿宋_GB2312"/>
                <w:sz w:val="21"/>
              </w:rPr>
              <w:t>1、设计原则</w:t>
            </w:r>
          </w:p>
          <w:p>
            <w:pPr>
              <w:pStyle w:val="null3"/>
              <w:ind w:firstLine="420"/>
              <w:jc w:val="both"/>
            </w:pPr>
            <w:r>
              <w:rPr>
                <w:rFonts w:ascii="仿宋_GB2312" w:hAnsi="仿宋_GB2312" w:cs="仿宋_GB2312" w:eastAsia="仿宋_GB2312"/>
                <w:sz w:val="21"/>
              </w:rPr>
              <w:t>经济性原则：在保证总体效果和使用功能的前提下，对材料进行多方案的比较和选择，严格控制造价，符合建设单位提供的成本控制价，优先选用环保、可再生材料。</w:t>
            </w:r>
          </w:p>
          <w:p>
            <w:pPr>
              <w:pStyle w:val="null3"/>
              <w:ind w:firstLine="420"/>
              <w:jc w:val="both"/>
            </w:pPr>
            <w:r>
              <w:rPr>
                <w:rFonts w:ascii="仿宋_GB2312" w:hAnsi="仿宋_GB2312" w:cs="仿宋_GB2312" w:eastAsia="仿宋_GB2312"/>
                <w:sz w:val="21"/>
              </w:rPr>
              <w:t>2、设计要求</w:t>
            </w:r>
          </w:p>
          <w:p>
            <w:pPr>
              <w:pStyle w:val="null3"/>
              <w:ind w:firstLine="420"/>
              <w:jc w:val="both"/>
            </w:pPr>
            <w:r>
              <w:rPr>
                <w:rFonts w:ascii="仿宋_GB2312" w:hAnsi="仿宋_GB2312" w:cs="仿宋_GB2312" w:eastAsia="仿宋_GB2312"/>
                <w:sz w:val="21"/>
              </w:rPr>
              <w:t>根据工程内容、范围进行有针对性的设计，提供相应的设计方案。</w:t>
            </w:r>
          </w:p>
          <w:p>
            <w:pPr>
              <w:pStyle w:val="null3"/>
              <w:jc w:val="both"/>
            </w:pPr>
            <w:r>
              <w:rPr>
                <w:rFonts w:ascii="仿宋_GB2312" w:hAnsi="仿宋_GB2312" w:cs="仿宋_GB2312" w:eastAsia="仿宋_GB2312"/>
                <w:sz w:val="21"/>
                <w:b/>
              </w:rPr>
              <w:t>五、服务范围、内容、要求</w:t>
            </w:r>
          </w:p>
          <w:p>
            <w:pPr>
              <w:pStyle w:val="null3"/>
              <w:ind w:firstLine="420"/>
              <w:jc w:val="both"/>
            </w:pPr>
            <w:r>
              <w:rPr>
                <w:rFonts w:ascii="仿宋_GB2312" w:hAnsi="仿宋_GB2312" w:cs="仿宋_GB2312" w:eastAsia="仿宋_GB2312"/>
                <w:sz w:val="21"/>
              </w:rPr>
              <w:t>1、服务范围</w:t>
            </w:r>
          </w:p>
          <w:p>
            <w:pPr>
              <w:pStyle w:val="null3"/>
              <w:ind w:firstLine="420"/>
              <w:jc w:val="both"/>
            </w:pPr>
            <w:r>
              <w:rPr>
                <w:rFonts w:ascii="仿宋_GB2312" w:hAnsi="仿宋_GB2312" w:cs="仿宋_GB2312" w:eastAsia="仿宋_GB2312"/>
                <w:sz w:val="21"/>
              </w:rPr>
              <w:t>项目范围内的全部设计内容。</w:t>
            </w:r>
          </w:p>
          <w:p>
            <w:pPr>
              <w:pStyle w:val="null3"/>
              <w:ind w:firstLine="420"/>
              <w:jc w:val="both"/>
            </w:pPr>
            <w:r>
              <w:rPr>
                <w:rFonts w:ascii="仿宋_GB2312" w:hAnsi="仿宋_GB2312" w:cs="仿宋_GB2312" w:eastAsia="仿宋_GB2312"/>
                <w:sz w:val="21"/>
              </w:rPr>
              <w:t>2、服务内容</w:t>
            </w:r>
          </w:p>
          <w:p>
            <w:pPr>
              <w:pStyle w:val="null3"/>
              <w:ind w:firstLine="420"/>
              <w:jc w:val="both"/>
            </w:pPr>
            <w:r>
              <w:rPr>
                <w:rFonts w:ascii="仿宋_GB2312" w:hAnsi="仿宋_GB2312" w:cs="仿宋_GB2312" w:eastAsia="仿宋_GB2312"/>
                <w:sz w:val="21"/>
              </w:rPr>
              <w:t>服务内容包含设计、技术交底、施工现场设计把控、参与项目验收等相关工作。</w:t>
            </w:r>
          </w:p>
          <w:p>
            <w:pPr>
              <w:pStyle w:val="null3"/>
              <w:ind w:firstLine="420"/>
              <w:jc w:val="both"/>
            </w:pPr>
            <w:r>
              <w:rPr>
                <w:rFonts w:ascii="仿宋_GB2312" w:hAnsi="仿宋_GB2312" w:cs="仿宋_GB2312" w:eastAsia="仿宋_GB2312"/>
                <w:sz w:val="21"/>
              </w:rPr>
              <w:t>3、其他要求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1）本项目开标时各投标单位只需提供初步设计方案。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2）现场施工跟进：设计单位应配合完成图纸交底、主材考察确认等工作，同时，由于施工的重要性，兼之施工周期较短，设计单位应紧密的配合现场施工进度，起到全程把控效果的作用。</w:t>
            </w:r>
          </w:p>
          <w:p>
            <w:pPr>
              <w:pStyle w:val="null3"/>
              <w:ind w:firstLine="420"/>
              <w:jc w:val="both"/>
            </w:pPr>
            <w:r>
              <w:rPr>
                <w:rFonts w:ascii="仿宋_GB2312" w:hAnsi="仿宋_GB2312" w:cs="仿宋_GB2312" w:eastAsia="仿宋_GB2312"/>
                <w:sz w:val="21"/>
              </w:rPr>
              <w:t>4、设计成果及深度要求：</w:t>
            </w:r>
          </w:p>
          <w:p>
            <w:pPr>
              <w:pStyle w:val="null3"/>
              <w:ind w:firstLine="420"/>
              <w:jc w:val="both"/>
            </w:pPr>
            <w:r>
              <w:rPr>
                <w:rFonts w:ascii="仿宋_GB2312" w:hAnsi="仿宋_GB2312" w:cs="仿宋_GB2312" w:eastAsia="仿宋_GB2312"/>
                <w:sz w:val="21"/>
              </w:rPr>
              <w:t>施工图设计阶段：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1）设计说明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2）总平面布置图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3）设计平面图</w:t>
            </w:r>
          </w:p>
          <w:p>
            <w:pPr>
              <w:pStyle w:val="null3"/>
              <w:ind w:firstLine="420"/>
              <w:jc w:val="both"/>
            </w:pPr>
            <w:r>
              <w:rPr>
                <w:rFonts w:ascii="仿宋_GB2312" w:hAnsi="仿宋_GB2312" w:cs="仿宋_GB2312" w:eastAsia="仿宋_GB2312"/>
                <w:sz w:val="21"/>
              </w:rPr>
              <w:t>5、各阶段设计成果及数量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1）尺寸应以公制单位标注。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2）设计中间交流及设计成果中提交图纸的所有文字均应为中文简体。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3）必须达到中华人民共和国的有关规范、规定及本项目设计合同规定的设计标准、设计深度、设计效果的要求。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4）工作内容应满足甲方提出的设计合同、设计任务书及中间交流书面文件（传真等）的要求。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5）设计成果要求：图纸八份，概算书八份，预算书八份，电子版U存盘一份。</w:t>
            </w:r>
          </w:p>
          <w:p>
            <w:pPr>
              <w:pStyle w:val="null3"/>
              <w:ind w:firstLine="420"/>
              <w:jc w:val="both"/>
            </w:pPr>
            <w:r>
              <w:rPr>
                <w:rFonts w:ascii="仿宋_GB2312" w:hAnsi="仿宋_GB2312" w:cs="仿宋_GB2312" w:eastAsia="仿宋_GB2312"/>
                <w:sz w:val="21"/>
              </w:rPr>
              <w:t>6.设计依据：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1）法规、规范及标准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1)《中华人民共和国水污染防治法》(2017 年修订)</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2)《中华人民共和国水法》(2002 年试行)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3)《水利工程建设标准强制性条文》(2020 年版)</w:t>
            </w:r>
          </w:p>
          <w:p>
            <w:pPr>
              <w:pStyle w:val="null3"/>
              <w:ind w:firstLine="420"/>
              <w:jc w:val="both"/>
            </w:pPr>
            <w:r>
              <w:rPr>
                <w:rFonts w:ascii="仿宋_GB2312" w:hAnsi="仿宋_GB2312" w:cs="仿宋_GB2312" w:eastAsia="仿宋_GB2312"/>
                <w:sz w:val="21"/>
              </w:rPr>
              <w:t>4)《防洪标准》(GB50201-2014)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5)《堤防工程设计规范》(GB50286-2013)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6)《水利水电工程等级划分及洪水标准》(SL252-2017)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7)其他相关规范</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符合国家、地方、水利行业设计相关规范，符合采购人相关要求。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供应商提交初步设计文件后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供应商提交施工图设计文件后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详见合同文本。（二）合同纠纷的解决方式 本建设工程设计合同发生争议，发包人与设计人应及时协商解决。也可由当地建设行政主管部门调解，调解不成时，双方当事人同意由西安市仲裁委员会仲裁。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供应商应具备工程设计综合资质甲级或工程设计水利行业乙级以上（含乙级）资质。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项目需求理解分析</w:t>
            </w:r>
          </w:p>
        </w:tc>
        <w:tc>
          <w:tcPr>
            <w:tcW w:type="dxa" w:w="2492"/>
          </w:tcPr>
          <w:p>
            <w:pPr>
              <w:pStyle w:val="null3"/>
            </w:pPr>
            <w:r>
              <w:rPr>
                <w:rFonts w:ascii="仿宋_GB2312" w:hAnsi="仿宋_GB2312" w:cs="仿宋_GB2312" w:eastAsia="仿宋_GB2312"/>
              </w:rPr>
              <w:t>（1）对项目背景和实施目的理解和认识（5分）； 评审标准： 理解和分析准确、全面，符合本项目实际情况，并提供详尽阐述的得5分。 理解和分析分析准确、全面，符合本项目实际情况，并提供了基本详尽阐述的得4分。 理解和分析基本准确，阐述基本全面，基本符合本项目实际情况的得3分。 理解基本准确，但分析不够全面，有基本阐述的得2分。 理解、分析简单笼统、不够准确，不够全面的得1分。 未提供，或提供的分析与实际情况不符的不得分。 （2）对本项目涉及的整体服务内容、主要工作方法、形成的成果文件等方面的理解和分析（5分）。 评审标准： 理解和分析准确、全面，符合本项目实际情况，并提供详尽阐述的得5分。 理解和分析分析准确、全面，符合本项目实际情况，并提供了基本详尽阐述的得4分。 理解和分析基本准确，阐述基本全面，基本符合本项目实际情况的得3分。 理解基本准确，但分析不够全面，有基本阐述的得2分。 理解、分析简单笼统、不够准确，不够全面的得1分。 未提供，或提供的分析与实际情况不符的不得分。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（1）设计服务方案：提供完善的、合理的、全面的设计服务方案，提供设计依据及有完善的设计目标，符合设计原则及标准（5分）； 评审标准： 方案内容专门针对本项目编制，符合本项目实际情况及实施要求，方案详尽，合理性和可行性强，能够保障项目顺利实施的得5分； 方案内容专门针对本项目编制，符合本项目实际情况及实施要求，有一定的合理性和可行性的得4分； 方案内容专门针对本项目编制，基本符合本项目实际情况及实施要求，基本合理、可行的得3分； 方案内容专门针对本项目编制，基本符合本项目实际情况及实施要求，但合理性、可行性较差的得2分； 供应商提供了方案，但内容简单笼统，针对性及可行性均较差的得1分。 未提供，或明显存在不合理性的不得分。 （2）总体设计思路：总体设计思路清晰、完整、严谨、合理。根据项目特点，合理应用技术标准“适用、经济、安全”体现精细化、创新性，融入节约，环保理念（5分）； 评审标准： 设计思路符合本项目实际情况及实施要求，方案详尽，合理性和可行性强，能够充分提升设计效果的得5分； 设计思路符合本项目实际情况及实施要求，有一定的合理性和可行性的得4分； 设计思路基本符合本项目实际情况及实施要求，基本合理、可行的得3分； 设计思路基本符合本项目实际情况及实施要求，但合理性、可行性较差的得2分； 供应商提供了设计思路，但内容简单笼统，针对性及可行性均较差的得1分。 未提供，或明显存在不合理性的不得分。 （3）后期服务方案:供应商按照要求施工现场设计把控、参与项目验收等相关工作的服务方案（5分）； 评审标准： 能够及时解决后续设计质量问题及配合服务计划，详细具体，针对性强，与项目的实际情况相契合，可行性强的得5分； 能够及时解决后续设计质量问题及配合服务计划，详细具体，有一定针对性和可行性的得4分； 能够及时解决后续设计质量问题及配合服务计划，基本全面，且基本合理可行的得3分； 能够及时解决后续设计质量问题及配合服务计划，基本全面，合理性和可行一般的得2分； 方案简单笼统，合理性和可行性较差的得1分； 未提供或方案存在明显不合理的不得分。 （4）合理化建议：供应商根据以往同类项目设计经验，提供合理化建议（5分）。 评审标准： 内容完善、全面，有详细的服务内容阐述并贴合项目的实际情况，具体实施细节及措施合理性和可行性强的得5分； 内有详细的内容阐述并贴合项目的实际情况，具体的实施细节及措施有一定的合理性和可行性的得4分； 内容进行了阐述，部分贴合项目实际情况，具体实施细节及措施为完善的得3分； 内容虽阐述但并未贴合项目实际情况进行详细论述，或方案中未体现具体的实施细节及措施等的得2分； 内容简单笼统，未针对项目内容具体展开的得1分； 未提供，或明显存在不合理性的不得分。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（1）工作质量保证措施：对工作质量保证措施全面有效、合法、及时，使工作能够保质保量地完成（5分）； 评审标准： 措施内容完善、全面，有详细的服务内容阐述并贴合项目的实际情况，具体实施细节及措施合理性和可行性强的得5分； 措施有详细的内容阐述并贴合项目的实际情况，具体的实施细节及措施有一定的合理性和可行性的得4分； 对措施内容进行了阐述，部分贴合项目实际情况，具体实施细节及措施较为完善，有一定的合理性和可行性的得3分； 对措施内容虽进行了阐述但并未贴合项目实际情况进行详细论述，或方案中未体现具体的实施细节及措施等的得2分； 措施内容简单笼统，未针对项目内容具体展开的得1分； 未提供，或明显存在不合理性的不得分。 （2)针对性的关键点分析及保证措施:项目实施过程中的关键点分析及采取相应保障措施，供应商根据本项目的实际情况，提出有针对性的关键点分析及保障措施（5分）； 评审标准： 有针对性的关键点分析，分析准确，保障措施得当的得5分； 有针对性的关键点分析，分析较准确，有较好的保障措施的得4分； 有针对性的关键点分析，分析基本准确性，有一定的保障措施的得3分； 有针对性的关键点分析，分析准确性低，保障措施不当的得2分； 有针对性的关键点分析，没有保障措施的得1分； 未提供，或明显存在不合理性的不得分。 （3）确保项目实施进度计划的组织措施：对整个项目实施进度有详细的计划，能够保证项目按时完成（5分）； 评审标准： 措施详细全面、合理、可行、能够保障项目顺利实施的得5分； 措施详细全面、有一定可行和合理性、能满足项目实施需求的得4分; 措施合理但不够详细全面、有一定可行、基本能保障项目顺利实施的得3分； 措施简单但有一定可行性合理性的得2分； 措施简单、可行性和合理性差的得1分； 未提供不得分。 （4）项目实施过程中成果文件规范性的保障措施（5分）。 评审标准： 措施详细全面、合理、可行、能够保障项目顺利实施的得5分； 措施详细全面、有一定可行和合理性、能满足项目实施需求的得4分; 措施合理但不够详细全面、有一定可行、基本能保障项目顺利实施的得3分； 措施简单但有一定可行性合理性的得2分； 措施简单、可行性和合理性差的得1分；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内部管理制度及工作流程</w:t>
            </w:r>
          </w:p>
        </w:tc>
        <w:tc>
          <w:tcPr>
            <w:tcW w:type="dxa" w:w="2492"/>
          </w:tcPr>
          <w:p>
            <w:pPr>
              <w:pStyle w:val="null3"/>
            </w:pPr>
            <w:r>
              <w:rPr>
                <w:rFonts w:ascii="仿宋_GB2312" w:hAnsi="仿宋_GB2312" w:cs="仿宋_GB2312" w:eastAsia="仿宋_GB2312"/>
              </w:rPr>
              <w:t>评审标准： 管理制度、工作流程完整、可行、有效的得5分； 管理制度、工作流程有一定的可行性和有效性的得4分； 管理制度和工作流程完整但部分管理制度和工作流程可行性较差的得3分； 管理制度和工作流程完整、管理制度和工作流程可行性均较差的2分； 管理制度和工作流程不完整，合理性、可行性均较差的得1分； 未提供或管理制度简单不足以满足项目顺利实施的不得分。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业服务团队，组织结构合理，人员分工明确，满足要求。 评审标准： 拟投入本项目人员数量充足，专业人员配置齐全、针对性强、分工明确，能够满足采购人项目需求的得5分； 人员配备数量充足，专业人员配备能够基本满足项目实施需要，分工有一定的合理性，基本能满足项目需求的得4分； 人员配备数量较充足、专业人员配备能够基本满足项目实施需要但分工合理性较差的得3分； 人员配备数量较少，专业人员配备较齐全，但合理性差的得2分； 人员配备数量较少，专业人员配备不齐全的得1分；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设备情况评审</w:t>
            </w:r>
          </w:p>
        </w:tc>
        <w:tc>
          <w:tcPr>
            <w:tcW w:type="dxa" w:w="2492"/>
          </w:tcPr>
          <w:p>
            <w:pPr>
              <w:pStyle w:val="null3"/>
            </w:pPr>
            <w:r>
              <w:rPr>
                <w:rFonts w:ascii="仿宋_GB2312" w:hAnsi="仿宋_GB2312" w:cs="仿宋_GB2312" w:eastAsia="仿宋_GB2312"/>
              </w:rPr>
              <w:t>对供应商拟投入本项目设备情况评审。 评审标准： 投入设备数量充足，合理，配置各类设备均为专业设备、设备状况良好、有先进性和科学性，能满足项目实施需求的得5分； 投入设备数量充足，合理，配置各类设备均为专业设备、设备状况良好、有一定的先进性和科学性，能满足项目实施需求的得4分； 投入设备数量基本充足，合理，配置各类设备均为专业设备、设备状况良好、有一定的先进性和科学性的得3分； 投入设备数量基本充足，合理性较差、先进性和科学性都较差的得2分； 投入设备简单，先进性和科学性较差的得1分； 未提供或提供设备不能满足项目实施需求的不得分。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（1）对项目的实施质量要求、进度要求、时限要求、成果文件编制等相关内容等做出承诺；（5分） （2）对后期服务的响应时间及配合程度等做出承诺。（5分） （3）对成果文件数据准确性和相关技术标准的导向性、可操作性等相关内容做出承诺（5分） 评审标准： 承诺全面且从多个角度明确地做出承诺，满足项目需求且可行性强的可得5分； 承诺全面且从多个角度明确地做出承诺，满足项目需求，有一定可行性的得4分； 承诺基本全面，基本能满足项目需求，基本合理可行的得3分； 承诺内容涵盖不全面，但所承诺得内容基本可行的得2分； 承诺简单且可行性较差的1分； 未提供，或明显存在不合理性的不得分。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供应商近三年（自2022年1月1日起至今，以合同签订时间为准）同类项目，每提供一个业绩合同得2分，满分10分。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以本次满足磋商文件要求的最终最低磋商报价为磋商基准价，其价格为满分，供应商的价格分，统一按照下列公式计算：报价得分=(磋商基准价／最终磋商报价)×价格分。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