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版本号：SXHC2025-24820251018002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西安市城市供水管理项目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SXHC2025-248</w:t>
      </w:r>
      <w:r>
        <w:br/>
      </w:r>
      <w:r>
        <w:br/>
      </w:r>
      <w:r>
        <w:br/>
      </w:r>
    </w:p>
    <w:p>
      <w:pPr>
        <w:pStyle w:val="null3"/>
        <w:jc w:val="center"/>
        <w:outlineLvl w:val="2"/>
      </w:pPr>
      <w:r>
        <w:rPr>
          <w:rFonts w:ascii="仿宋_GB2312" w:hAnsi="仿宋_GB2312" w:cs="仿宋_GB2312" w:eastAsia="仿宋_GB2312"/>
          <w:sz w:val="28"/>
          <w:b/>
        </w:rPr>
        <w:t>西安市供水管理中心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西安市供水管理中心</w:t>
      </w:r>
      <w:r>
        <w:rPr>
          <w:rFonts w:ascii="仿宋_GB2312" w:hAnsi="仿宋_GB2312" w:cs="仿宋_GB2312" w:eastAsia="仿宋_GB2312"/>
        </w:rPr>
        <w:t>委托，拟对</w:t>
      </w:r>
      <w:r>
        <w:rPr>
          <w:rFonts w:ascii="仿宋_GB2312" w:hAnsi="仿宋_GB2312" w:cs="仿宋_GB2312" w:eastAsia="仿宋_GB2312"/>
        </w:rPr>
        <w:t>西安市城市供水管理项目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西安市城市供水管理项目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建设内容包括两大方面，即供水管理技术服务项目、重点区域水质监测服务项目，其中供水管理技术服务项目包括管理信息采集更新服务、城市供水水质抽检服务、城市供水管理服务（包括城市供水一张图服务、供水管理支持服务和视频会商系统维护服务）；重点区域水质监测服务项目主要包括水质监测+服务治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采购包1（供水管理技术服务项目）：属于专门面向小微企业采购。</w:t>
      </w:r>
    </w:p>
    <w:p>
      <w:pPr>
        <w:pStyle w:val="null3"/>
      </w:pPr>
      <w:r>
        <w:rPr>
          <w:rFonts w:ascii="仿宋_GB2312" w:hAnsi="仿宋_GB2312" w:cs="仿宋_GB2312" w:eastAsia="仿宋_GB2312"/>
        </w:rPr>
        <w:t>供应商合同分包的，分包意向协议中分包意向供应商应当为小微企业。</w:t>
      </w:r>
    </w:p>
    <w:p>
      <w:pPr>
        <w:pStyle w:val="null3"/>
      </w:pPr>
      <w:r>
        <w:rPr>
          <w:rFonts w:ascii="仿宋_GB2312" w:hAnsi="仿宋_GB2312" w:cs="仿宋_GB2312" w:eastAsia="仿宋_GB2312"/>
        </w:rPr>
        <w:t>采购包2（重点区域水质监测服务项目）：属于专门面向小微企业采购。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1、具有独立承担民事责任能力：企业法人应提供合法有效的标识有企业法人提供合法有效的营业执照；事业法人提供事业单位法人证书；其他组织提供合法登记证明文件；自然人提供身份证。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1、具有独立承担民事责任能力：企业法人应提供合法有效的标识有企业法人提供合法有效的营业执照；事业法人提供事业单位法人证书；其他组织提供合法登记证明文件；自然人提供身份证。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西安市供水管理中心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西安市未央区凤城南路东段12号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029-89361024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采购包1：1,099,600.00元</w:t>
            </w:r>
          </w:p>
          <w:p>
            <w:pPr>
              <w:pStyle w:val="null3"/>
            </w:pPr>
            <w:r>
              <w:rPr>
                <w:rFonts w:ascii="仿宋_GB2312" w:hAnsi="仿宋_GB2312" w:cs="仿宋_GB2312" w:eastAsia="仿宋_GB2312"/>
              </w:rPr>
              <w:t>采购包2：820,400.00元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代理服务费收费标准：1、招标代理服务费的计算方法：以每包成交金额为基数，参考《国家计委关于印发&lt;招 标代理服务收费管理暂行办法&gt;的通知》（计价格〔2002〕1980号）及《国家发改委关于降低 部分建设项目收费标准规范收费行为等有关问题的通知》（发改价格〔2011〕534号） 规定按标准收取，若按照标准收取不足6000元，按6000元计取。 2、招标代理服务费可以采取现金、支票、银行汇票、电汇、网银等方式缴纳。 3、招标代理服务费缴纳信息：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西安市供水管理中心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西安市供水管理中心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西安市供水管理中心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采购包1：分包比例25%，分包履行的内容：城市供水水质专项检检测服务，后期经采购人同意成交供应商可将上述工作内容分包，但需按照技术要求内容分包给具有专业资质的服务商；资质要求详见第4章</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成后，由西安市供水管理中心组织对项目服务的执行结果进行验收，主要针对中标供应商的合同履行情况及结果进行检验、核实和评估，以确认其提供的货物、服务或者工程是否符合政府采购合同约定标准和要求。 采购合同和供应商投标响应文件是履约验收工作的基本依据。补充合同视同采购合同组成部分。西安市供水管理中心和供应商应当全面、真实、有效地履行采购合同约定，任何一方当事人不得擅自变更、中止或者终止。对采购合同中约定的权利和义务，任何一方不得擅自放弃或者让渡。在履约过程中确需变更、中止或者终止的，应当报财政部门备案后方可实施。政府采购履约验收应当遵循全面完整、客观真实、公开透明的原则，坚持应验必验、验收必严、违约必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成后，由西安市供水管理中心组织对项目服务的执行结果进行验收，主要针对中标供应商的合同履行情况及结果进行检验、核实和评估，以确认其提供的货物、服务或者工程是否符合政府采购合同约定标准和要求。 采购合同和供应商投标响应文件是履约验收工作的基本依据。补充合同视同采购合同组成部分。西安市供水管理中心和供应商应当全面、真实、有效地履行采购合同约定，任何一方当事人不得擅自变更、中止或者终止。对采购合同中约定的权利和义务，任何一方不得擅自放弃或者让渡。在履约过程中确需变更、中止或者终止的，应当报财政部门备案后方可实施。政府采购履约验收应当遵循全面完整、客观真实、公开透明的原则，坚持应验必验、验收必严、违约必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建设内容包括两大方面，即供水管理技术服务项目、重点区域水质监测服务项目，其中供水管理技术服务项目包括管理信息采集更新服务、城市供水水质抽检服务、城市供水管理服务（包括城市供水一张图服务、供水管理支持服务和视频会商系统维护服务）；重点区域水质监测服务项目主要包括水质监测+服务治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1,099,600.00</w:t>
      </w:r>
    </w:p>
    <w:p>
      <w:pPr>
        <w:pStyle w:val="null3"/>
      </w:pPr>
      <w:r>
        <w:rPr>
          <w:rFonts w:ascii="仿宋_GB2312" w:hAnsi="仿宋_GB2312" w:cs="仿宋_GB2312" w:eastAsia="仿宋_GB2312"/>
        </w:rPr>
        <w:t>采购包最高限价（元）: 1,099,600.00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供水管理技术服务项目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820,400.00</w:t>
      </w:r>
    </w:p>
    <w:p>
      <w:pPr>
        <w:pStyle w:val="null3"/>
      </w:pPr>
      <w:r>
        <w:rPr>
          <w:rFonts w:ascii="仿宋_GB2312" w:hAnsi="仿宋_GB2312" w:cs="仿宋_GB2312" w:eastAsia="仿宋_GB2312"/>
        </w:rPr>
        <w:t>采购包最高限价（元）: 820,400.00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重点区域水质监测服务项目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标的名称：供水管理技术服务项目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因格式问题无法体现，以附件中采购需求为准。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标的名称：重点区域水质监测服务项目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因格式问题无法体现，以附件中采购需求为准。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详见附件采购需求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详见附件采购需求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详见附件采购需求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详见附件采购需求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详见附件采购需求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详见附件采购需求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8个月，即从2025年11月开始至2026年6月底结束。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8个月，即从2025年11月开始至2026年6月底结束。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西安市范围内，具体以采购人指定地点为准。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成后，由西安市供水管理中心组织对项目服务的执行结果进行验收，主要针对成交供应商的合同履行情况及结果进行检验、核实和评估，以确认其提供的货物、服务或者工程是否符合政府采购合同约定标准和要求。 采购合同和供应商投标响应文件是履约验收工作的基本依据。补充合同视同采购合同组成部分。西安市供水管理中心和供应商应当全面、真实、有效地履行采购合同约定，任何一方当事人不得擅自变更、中止或者终止。对采购合同中约定的权利和义务，任何一方不得擅自放弃或者让渡。在履约过程中确需变更、中止或者终止的，应当报财政部门备案后方可实施。政府采购履约验收应当遵循全面完整、客观真实、公开透明的原则，坚持应验必验、验收必严、违约必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成后，由西安市供水管理中心组织对项目服务的执行结果进行验收，主要针对成交供应商的合同履行情况及结果进行检验、核实和评估，以确认其提供的货物、服务或者工程是否符合政府采购合同约定标准和要求。 采购合同和供应商投标响应文件是履约验收工作的基本依据。补充合同视同采购合同组成部分。西安市供水管理中心和供应商应当全面、真实、有效地履行采购合同约定，任何一方当事人不得擅自变更、中止或者终止。对采购合同中约定的权利和义务，任何一方不得擅自放弃或者让渡。在履约过程中确需变更、中止或者终止的，应当报财政部门备案后方可实施。政府采购履约验收应当遵循全面完整、客观真实、公开透明的原则，坚持应验必验、验收必严、违约必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待供应商完成合同约定全部工作内容，经甲方合格后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待供应商完成合同约定全部工作内容，经甲方合格后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以拟签订的合同文本中体现的为准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以拟签订的合同文本中体现的为准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4、本项目共分为2个采购包，每个采购包确定1家成交供应商，供应商可同时参与多个采购包，但最终只能中1个采购包。评审时按照采购包号顺序进行评审，若供应商在评审时已在采购包1被推荐为排序第一的成交候选人，则该供应商在采购包2中不再参与成交候选人的推荐。5、支付约定因系统格式问题，合同款项支付以拟签订合同文本体现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企业法人应提供合法有效的标识有企业法人提供合法有效的营业执照；事业法人提供事业单位法人证书；其他组织提供合法登记证明文件；自然人提供身份证。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企业法人应提供合法有效的标识有企业法人提供合法有效的营业执照；事业法人提供事业单位法人证书；其他组织提供合法登记证明文件；自然人提供身份证。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项目介绍及现场部署；②实施流程；③重点与难点分析；④项目验收等方面。以上内容专门针对本项目且符合本项目实际需求的得8分，每缺一项内容扣2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内容至少包括①管理信息采集更新服务；②城市供水水质抽检服务；③城市供水一张图服务；④供水管理支持服务；⑤视频会商系统维护服务。 以上内容专门针对本项目且符合本项目实际需求的得25分，每缺一项内容扣5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工作组织进度方案</w:t>
            </w:r>
          </w:p>
        </w:tc>
        <w:tc>
          <w:tcPr>
            <w:tcW w:type="dxa" w:w="2492"/>
          </w:tcPr>
          <w:p>
            <w:pPr>
              <w:pStyle w:val="null3"/>
            </w:pPr>
            <w:r>
              <w:rPr>
                <w:rFonts w:ascii="仿宋_GB2312" w:hAnsi="仿宋_GB2312" w:cs="仿宋_GB2312" w:eastAsia="仿宋_GB2312"/>
              </w:rPr>
              <w:t>内容至少包括①项目工作流程；②工作进度安排；③进度保障措施；④相应的协调措施等方面。 以上内容专门针对本项目且符合本项目实际需求的得12分，每缺一项内容扣3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拟投入服务团队人员配置方案</w:t>
            </w:r>
          </w:p>
        </w:tc>
        <w:tc>
          <w:tcPr>
            <w:tcW w:type="dxa" w:w="2492"/>
          </w:tcPr>
          <w:p>
            <w:pPr>
              <w:pStyle w:val="null3"/>
            </w:pPr>
            <w:r>
              <w:rPr>
                <w:rFonts w:ascii="仿宋_GB2312" w:hAnsi="仿宋_GB2312" w:cs="仿宋_GB2312" w:eastAsia="仿宋_GB2312"/>
              </w:rPr>
              <w:t>内容至少包括①项目组织机构图；②各专业人员配置及岗位职责；③团队管理制度（人员管理，任务分派，团队监督机制等）；④团队监督机制等方面。以上内容专门针对本项目且符合本项目实际需求的得12分，每缺一项内容扣3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、套用其他项目内容或内容不能满足本项目实际需求等任意一种情形。注：拟投入服务团队人员必须为本单位在职人员，提供承诺函或人员社保证明材料。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质量及安全保障方案</w:t>
            </w:r>
          </w:p>
        </w:tc>
        <w:tc>
          <w:tcPr>
            <w:tcW w:type="dxa" w:w="2492"/>
          </w:tcPr>
          <w:p>
            <w:pPr>
              <w:pStyle w:val="null3"/>
            </w:pPr>
            <w:r>
              <w:rPr>
                <w:rFonts w:ascii="仿宋_GB2312" w:hAnsi="仿宋_GB2312" w:cs="仿宋_GB2312" w:eastAsia="仿宋_GB2312"/>
              </w:rPr>
              <w:t>内容至少包括①稳定性保障措施；②易用性保障措施；③拓展性保障措施；④维护及安全性保障措施；⑤质量、安全监管措施等方面。以上内容专门针对本项目且符合本项目实际需求的得10分，每缺一项内容扣2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内容至少包括①培训目标、培训计划及内容；②培训组织方式及培训质量保证措施等方面。 以上内容专门针对本项目且符合本项目实际需求的得7分，每缺一项内容扣3.5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故障处理及疑难问题解答；②应急事故处理措施；③预案演练方案；④应急常识宣传；⑤应急响应安排等方面。以上内容专门针对本项目且符合本项目实际需求的得10分，每缺一项内容扣2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供应商具有2022年1月1日至今（以合同签订时间为准）类似项目业绩，响应文件中提供合同复印件加盖公章，每提供一个得1分，最高得6分。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项目介绍及现场部署；②实施流程；③重点与难点分析；④项目验收等方面。以上内容专门针对本项目且符合本项目实际需求的得12分，每缺一项内容扣3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内容至少包括①水质监测点位选取；②水质监测设备安装；③水质在线监测；④水质数据异常预警及治理；⑤现场环境水浸监测；⑥水质监测指标；⑦成果分析服务；⑧技术支持服务等方面。 以上内容专门针对本项目且符合本项目实际需求的得24分，每缺一项内容扣3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工作组织进度方案</w:t>
            </w:r>
          </w:p>
        </w:tc>
        <w:tc>
          <w:tcPr>
            <w:tcW w:type="dxa" w:w="2492"/>
          </w:tcPr>
          <w:p>
            <w:pPr>
              <w:pStyle w:val="null3"/>
            </w:pPr>
            <w:r>
              <w:rPr>
                <w:rFonts w:ascii="仿宋_GB2312" w:hAnsi="仿宋_GB2312" w:cs="仿宋_GB2312" w:eastAsia="仿宋_GB2312"/>
              </w:rPr>
              <w:t>内容至少包括①项目工作流程；②进度安排及进度保障措施；③相应的协调措施等方面。 以上内容专门针对本项目且符合本项目实际需求的得6分，每缺一项内容扣2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拟投入服务团队人员配置方案</w:t>
            </w:r>
          </w:p>
        </w:tc>
        <w:tc>
          <w:tcPr>
            <w:tcW w:type="dxa" w:w="2492"/>
          </w:tcPr>
          <w:p>
            <w:pPr>
              <w:pStyle w:val="null3"/>
            </w:pPr>
            <w:r>
              <w:rPr>
                <w:rFonts w:ascii="仿宋_GB2312" w:hAnsi="仿宋_GB2312" w:cs="仿宋_GB2312" w:eastAsia="仿宋_GB2312"/>
              </w:rPr>
              <w:t>内容至少包括①项目组织机构图；②各专业人员配置及岗位职责；③团队管理制度（人员管理，任务分派，团队监督机制等）；④团队监督机制等方面。以上内容专门针对本项目且符合本项目实际需求的得12分，每缺一项内容扣3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、套用其他项目内容或内容不能满足本项目实际需求等任意一种情形。注：拟投入服务团队人员必须为本单位在职人员，提供承诺函或人员社保证明材料。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质量及安全保障方案</w:t>
            </w:r>
          </w:p>
        </w:tc>
        <w:tc>
          <w:tcPr>
            <w:tcW w:type="dxa" w:w="2492"/>
          </w:tcPr>
          <w:p>
            <w:pPr>
              <w:pStyle w:val="null3"/>
            </w:pPr>
            <w:r>
              <w:rPr>
                <w:rFonts w:ascii="仿宋_GB2312" w:hAnsi="仿宋_GB2312" w:cs="仿宋_GB2312" w:eastAsia="仿宋_GB2312"/>
              </w:rPr>
              <w:t>内容至少包括①稳定性保障措施；②易用性保障措施；③拓展性保障措施；④维护及安全性保障措施；⑤质量、安全监管措施等方面。以上内容专门针对本项目且符合本项目实际需求的得10分，每缺一项内容扣2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故障处理及疑难问题解答；②应急事故处理措施；③预案演练方案；④应急常识宣传；⑤应急响应安排等方面。以上内容专门针对本项目且符合本项目实际需求的得10分，每缺一项内容扣2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内容至少包括①售后服务方式及内容；②售后服务团队配置；③服务内容及服务期限承诺；④故障及维修时间响应、故障的检修和排除；⑤定期回访、检修、保养等方面。以上内容专门针对本项目且符合本项目实际需求的得10分，每缺一项内容扣2分，评审内容有缺陷的根据情况扣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供应商具有2022年1月1日至今（以合同签订时间为准）类似项目业绩，响应文件中提供合同复印件加盖公章，每提供一个得1分，最高得6分。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