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版本号：HYJSZC202508120251110001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高陵区农村“水暖炕”改造项目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HYJSZC2025081</w:t>
      </w:r>
      <w:r>
        <w:br/>
      </w:r>
      <w:r>
        <w:br/>
      </w:r>
      <w:r>
        <w:br/>
      </w:r>
    </w:p>
    <w:p>
      <w:pPr>
        <w:pStyle w:val="null3"/>
        <w:jc w:val="center"/>
        <w:outlineLvl w:val="2"/>
      </w:pPr>
      <w:r>
        <w:rPr>
          <w:rFonts w:ascii="仿宋_GB2312" w:hAnsi="仿宋_GB2312" w:cs="仿宋_GB2312" w:eastAsia="仿宋_GB2312"/>
          <w:sz w:val="28"/>
          <w:b/>
        </w:rPr>
        <w:t>西安市生态环境局高陵分局</w:t>
      </w:r>
    </w:p>
    <w:p>
      <w:pPr>
        <w:pStyle w:val="null3"/>
        <w:jc w:val="center"/>
        <w:outlineLvl w:val="2"/>
      </w:pPr>
      <w:r>
        <w:rPr>
          <w:rFonts w:ascii="仿宋_GB2312" w:hAnsi="仿宋_GB2312" w:cs="仿宋_GB2312" w:eastAsia="仿宋_GB2312"/>
          <w:sz w:val="28"/>
          <w:b/>
        </w:rPr>
        <w:t>陕西华远建设项目管理有限公司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陕西华远建设项目管理有限公司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西安市生态环境局高陵分局</w:t>
      </w:r>
      <w:r>
        <w:rPr>
          <w:rFonts w:ascii="仿宋_GB2312" w:hAnsi="仿宋_GB2312" w:cs="仿宋_GB2312" w:eastAsia="仿宋_GB2312"/>
        </w:rPr>
        <w:t>委托，拟对</w:t>
      </w:r>
      <w:r>
        <w:rPr>
          <w:rFonts w:ascii="仿宋_GB2312" w:hAnsi="仿宋_GB2312" w:cs="仿宋_GB2312" w:eastAsia="仿宋_GB2312"/>
        </w:rPr>
        <w:t>高陵区农村“水暖炕”改造项目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HYJSZC2025081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高陵区农村“水暖炕”改造项目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采购1070套水暖炕改造设备，完成全区1070户农村“水暖炕”改造建设工作，着力解决农村区域生物质燃烧问题。</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采购包1（高陵区农村“水暖炕”改造项目）：属于专门面向中小企业采购。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法人出具合法有效的营业执照，事业法人应提供事业单位法人等证明文件，其他组织应提供合法证明文件，自然人出具身份证明：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法定代表人身份证明或法人授权委托书：法定代表人授权委托书（附法定代表人身份证复印件）及被授权委托人身份证（法定代表人参加投标须提供法定代表人身份证明书）：法定代表人授权委托书（附法定代表人身份证复印件）及被授权委托人身份证（法定代表人参加投标须提供法定代表人身份证明书），授权书需法定代表人或被授权人签字或盖章，供应商需在项目电子化交易系统中按要求上传相应证明文件</w:t>
      </w:r>
    </w:p>
    <w:p>
      <w:pPr>
        <w:pStyle w:val="null3"/>
      </w:pPr>
      <w:r>
        <w:rPr>
          <w:rFonts w:ascii="仿宋_GB2312" w:hAnsi="仿宋_GB2312" w:cs="仿宋_GB2312" w:eastAsia="仿宋_GB2312"/>
        </w:rPr>
        <w:t>3、财务状况报告：提供2024年度完整的财务审计报告或开标时间前三个月内基本账户银行出具的资信证明，供应商需在项目电子化交易系统中按要求上传相应证明文件</w:t>
      </w:r>
    </w:p>
    <w:p>
      <w:pPr>
        <w:pStyle w:val="null3"/>
      </w:pPr>
      <w:r>
        <w:rPr>
          <w:rFonts w:ascii="仿宋_GB2312" w:hAnsi="仿宋_GB2312" w:cs="仿宋_GB2312" w:eastAsia="仿宋_GB2312"/>
        </w:rPr>
        <w:t>4、税收缴纳证明：提供采购活动前6个月内任意一月（任意税种）的缴纳证明或完税证明，纳税证明或完税证明上应有代收机构或税务机关的公章或业务专用章。依法免税的供应商应提供相关文件证明；成立时间至提交投标文件截止时间不足一年的，可提供成立后本年度任意时段税收缴纳证明，供应商需在项目电子化交易系统中按要求上传相应证明文件</w:t>
      </w:r>
    </w:p>
    <w:p>
      <w:pPr>
        <w:pStyle w:val="null3"/>
      </w:pPr>
      <w:r>
        <w:rPr>
          <w:rFonts w:ascii="仿宋_GB2312" w:hAnsi="仿宋_GB2312" w:cs="仿宋_GB2312" w:eastAsia="仿宋_GB2312"/>
        </w:rPr>
        <w:t>5、社保缴纳证明：提供采购活动前6个月内任意一月的社会保障资金缴存单据或社保机构开具的社会保险参保缴费情况证明。依法不需要缴纳社会保障资金的供应商应提供相关文件证明；成立时间至提交投标文件截止时间不足一年的，可提供成立后本年度任意时段社保缴纳证明，供应商需在项目电子化交易系统中按要求上传相应证明文件并进行电子签章</w:t>
      </w:r>
    </w:p>
    <w:p>
      <w:pPr>
        <w:pStyle w:val="null3"/>
      </w:pPr>
      <w:r>
        <w:rPr>
          <w:rFonts w:ascii="仿宋_GB2312" w:hAnsi="仿宋_GB2312" w:cs="仿宋_GB2312" w:eastAsia="仿宋_GB2312"/>
        </w:rPr>
        <w:t>6、书面声明：①参加本次政府采购活动前3年内在经营活动中没有重大违纪的书面声明、②具有履行合同所必需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7、信用证明：提供“信用中国”网站(www.creditchina.gov.cn)、中国政府采购网(www.ccgp.gov.cn)等网页截图及信用中国报告，以开标后的网站查询记录为准</w:t>
      </w:r>
    </w:p>
    <w:p>
      <w:pPr>
        <w:pStyle w:val="null3"/>
      </w:pPr>
      <w:r>
        <w:rPr>
          <w:rFonts w:ascii="仿宋_GB2312" w:hAnsi="仿宋_GB2312" w:cs="仿宋_GB2312" w:eastAsia="仿宋_GB2312"/>
        </w:rPr>
        <w:t>8、关联关系承诺：单位负责人为同一人或者存在控股、管理关系的不同供应商，不得参加同一合同下的政府采购活动，供应商需在项目电子化交易系统中按要求上传相应证明文件并进行电子签章</w:t>
      </w:r>
    </w:p>
    <w:p>
      <w:pPr>
        <w:pStyle w:val="null3"/>
      </w:pPr>
      <w:r>
        <w:rPr>
          <w:rFonts w:ascii="仿宋_GB2312" w:hAnsi="仿宋_GB2312" w:cs="仿宋_GB2312" w:eastAsia="仿宋_GB2312"/>
        </w:rPr>
        <w:t>9、非联合体投标声明：本项目不接受联合体投标，供应商需在项目电子化交易系统中按要求上传相应证明文件并进行电子签章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西安市生态环境局高陵分局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西安市高陵区鹿歌路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18792796458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陕西华远建设项目管理有限公司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陕西省西安市曲江新区雁翔路3269号旺座曲江K座501室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13201702738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中规定的标准计取。由成交人（或中标人）在领取成交（或中标）通知书前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西安市生态环境局高陵分局</w:t>
      </w:r>
      <w:r>
        <w:rPr>
          <w:rFonts w:ascii="仿宋_GB2312" w:hAnsi="仿宋_GB2312" w:cs="仿宋_GB2312" w:eastAsia="仿宋_GB2312"/>
        </w:rPr>
        <w:t>和</w:t>
      </w:r>
      <w:r>
        <w:rPr>
          <w:rFonts w:ascii="仿宋_GB2312" w:hAnsi="仿宋_GB2312" w:cs="仿宋_GB2312" w:eastAsia="仿宋_GB2312"/>
        </w:rPr>
        <w:t>陕西华远建设项目管理有限公司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西安市生态环境局高陵分局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陕西华远建设项目管理有限公司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西安市生态环境局高陵分局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陕西华远建设项目管理有限公司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符合国家相关质量标准并满足采购人的采购要求。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陕西华远建设项目管理有限公司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陕西华远建设项目管理有限公司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陕西华远建设项目管理有限公司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联系人：王坚</w:t>
      </w:r>
    </w:p>
    <w:p>
      <w:pPr>
        <w:pStyle w:val="null3"/>
      </w:pPr>
      <w:r>
        <w:rPr>
          <w:rFonts w:ascii="仿宋_GB2312" w:hAnsi="仿宋_GB2312" w:cs="仿宋_GB2312" w:eastAsia="仿宋_GB2312"/>
        </w:rPr>
        <w:t>联系电话：13201702738</w:t>
      </w:r>
    </w:p>
    <w:p>
      <w:pPr>
        <w:pStyle w:val="null3"/>
      </w:pPr>
      <w:r>
        <w:rPr>
          <w:rFonts w:ascii="仿宋_GB2312" w:hAnsi="仿宋_GB2312" w:cs="仿宋_GB2312" w:eastAsia="仿宋_GB2312"/>
        </w:rPr>
        <w:t>地址：陕西省西安市曲江新区雁翔路3269号旺座曲江K座501室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采购1070套水暖炕改造设备，完成全区1070户农村“水暖炕”改造建设工作，着力解决农村区域生物质燃烧问题。</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535,000.00</w:t>
      </w:r>
    </w:p>
    <w:p>
      <w:pPr>
        <w:pStyle w:val="null3"/>
      </w:pPr>
      <w:r>
        <w:rPr>
          <w:rFonts w:ascii="仿宋_GB2312" w:hAnsi="仿宋_GB2312" w:cs="仿宋_GB2312" w:eastAsia="仿宋_GB2312"/>
        </w:rPr>
        <w:t>采购包最高限价（元）: 535,000.00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设备</w:t>
            </w:r>
          </w:p>
        </w:tc>
        <w:tc>
          <w:tcPr>
            <w:tcW w:type="dxa" w:w="831"/>
          </w:tcPr>
          <w:p>
            <w:pPr>
              <w:pStyle w:val="null3"/>
              <w:jc w:val="right"/>
            </w:pPr>
            <w:r>
              <w:rPr>
                <w:rFonts w:ascii="仿宋_GB2312" w:hAnsi="仿宋_GB2312" w:cs="仿宋_GB2312" w:eastAsia="仿宋_GB2312"/>
              </w:rPr>
              <w:t>1,070.00</w:t>
            </w:r>
          </w:p>
        </w:tc>
        <w:tc>
          <w:tcPr>
            <w:tcW w:type="dxa" w:w="831"/>
          </w:tcPr>
          <w:p>
            <w:pPr>
              <w:pStyle w:val="null3"/>
              <w:jc w:val="right"/>
            </w:pPr>
            <w:r>
              <w:rPr>
                <w:rFonts w:ascii="仿宋_GB2312" w:hAnsi="仿宋_GB2312" w:cs="仿宋_GB2312" w:eastAsia="仿宋_GB2312"/>
              </w:rPr>
              <w:t>535,000.00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89"/>
              <w:gridCol w:w="289"/>
              <w:gridCol w:w="1337"/>
              <w:gridCol w:w="380"/>
              <w:gridCol w:w="258"/>
            </w:tblGrid>
            <w:tr>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1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参数及配置要求</w:t>
                  </w:r>
                </w:p>
              </w:tc>
              <w:tc>
                <w:tcPr>
                  <w:tcW w:type="dxa" w:w="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数量（套）</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主机</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w:t>
                  </w:r>
                  <w:r>
                    <w:rPr>
                      <w:rFonts w:ascii="仿宋_GB2312" w:hAnsi="仿宋_GB2312" w:cs="仿宋_GB2312" w:eastAsia="仿宋_GB2312"/>
                      <w:sz w:val="24"/>
                    </w:rPr>
                    <w:t>PTC陶瓷水电分离加热，功率在800W-1200W之间，加热器温度可任意调节(带遥控器)，最高温度设置≥60摄氏度，超静音直流水泵循环，噪声≤40分贝，有高温断电、断水断电、干烧漏电保护等功能</w:t>
                  </w:r>
                  <w:r>
                    <w:rPr>
                      <w:rFonts w:ascii="仿宋_GB2312" w:hAnsi="仿宋_GB2312" w:cs="仿宋_GB2312" w:eastAsia="仿宋_GB2312"/>
                      <w:sz w:val="24"/>
                    </w:rPr>
                    <w:t>，</w:t>
                  </w:r>
                </w:p>
              </w:tc>
              <w:tc>
                <w:tcPr>
                  <w:tcW w:type="dxa" w:w="3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1070</w:t>
                  </w:r>
                </w:p>
              </w:tc>
              <w:tc>
                <w:tcPr>
                  <w:tcW w:type="dxa" w:w="2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炕板</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采用环保板材等级，表面采用铝膜工艺，板材具备高抗压、抗折、耐火、阻燃特性，厚度</w:t>
                  </w:r>
                  <w:r>
                    <w:rPr>
                      <w:rFonts w:ascii="仿宋_GB2312" w:hAnsi="仿宋_GB2312" w:cs="仿宋_GB2312" w:eastAsia="仿宋_GB2312"/>
                      <w:sz w:val="24"/>
                    </w:rPr>
                    <w:t>≥18mm,容重≥40kg/m</w:t>
                  </w:r>
                  <w:r>
                    <w:rPr>
                      <w:rFonts w:ascii="仿宋_GB2312" w:hAnsi="仿宋_GB2312" w:cs="仿宋_GB2312" w:eastAsia="仿宋_GB2312"/>
                      <w:sz w:val="24"/>
                      <w:vertAlign w:val="superscript"/>
                    </w:rPr>
                    <w:t>3</w:t>
                  </w:r>
                  <w:r>
                    <w:rPr>
                      <w:rFonts w:ascii="仿宋_GB2312" w:hAnsi="仿宋_GB2312" w:cs="仿宋_GB2312" w:eastAsia="仿宋_GB2312"/>
                      <w:sz w:val="24"/>
                    </w:rPr>
                    <w:t>,炕板铺设原则上以铺满炕面为标准。</w:t>
                  </w:r>
                </w:p>
              </w:tc>
              <w:tc>
                <w:tcPr>
                  <w:tcW w:type="dxa" w:w="380"/>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水管</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水管采用</w:t>
                  </w:r>
                  <w:r>
                    <w:rPr>
                      <w:rFonts w:ascii="仿宋_GB2312" w:hAnsi="仿宋_GB2312" w:cs="仿宋_GB2312" w:eastAsia="仿宋_GB2312"/>
                      <w:sz w:val="24"/>
                    </w:rPr>
                    <w:t>PE-RT水暖管，水暖管外径≥10mm，壁厚≥1.5mm, 折叠实验≥15000次。</w:t>
                  </w:r>
                </w:p>
              </w:tc>
              <w:tc>
                <w:tcPr>
                  <w:tcW w:type="dxa" w:w="380"/>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安装及售后</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铺设安装（包括其它辅材）、讲解及售后。</w:t>
                  </w:r>
                </w:p>
              </w:tc>
              <w:tc>
                <w:tcPr>
                  <w:tcW w:type="dxa" w:w="380"/>
                  <w:vMerge/>
                  <w:tcBorders>
                    <w:top w:val="none" w:color="000000" w:sz="4"/>
                    <w:left w:val="none" w:color="000000" w:sz="4"/>
                    <w:bottom w:val="single" w:color="000000" w:sz="4"/>
                    <w:right w:val="single" w:color="000000" w:sz="4"/>
                  </w:tcBorders>
                </w:tcPr>
                <w:p/>
              </w:tc>
              <w:tc>
                <w:tcPr>
                  <w:tcW w:type="dxa" w:w="258"/>
                  <w:vMerge/>
                  <w:tcBorders>
                    <w:top w:val="none" w:color="000000" w:sz="4"/>
                    <w:left w:val="none" w:color="000000" w:sz="4"/>
                    <w:bottom w:val="single" w:color="000000" w:sz="4"/>
                    <w:right w:val="single" w:color="000000" w:sz="4"/>
                  </w:tcBorders>
                </w:tcP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自合同签订之日起7日历天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质保期满一年后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1.本项目采用一般程序进行验收。项目验收另有国家强制性规定的，按国家规定执行，验收费用由乙方承担，验收报告作为申请付款的凭证之一。 2.验收过程中产生纠纷的，由质量技术监督部门认定的检测机构检测,如为乙方原因造成的，由乙方承担检测费用；否则由甲方承担。 3.项目验收不合格，由乙方返工直至合格，有关返工、再行验收，以及给甲方造成的损失等费用由乙方承担。连续两次项目验收不合格的，甲方可终止合同，另行按规定选择其他供应商采购，由此带来的一切损失由乙方承担。 4.到货完成全部产品安装、调试、部署后开展项目初验，项目初验合格稳定运行三个月，各项指标参数均符合本次项目采购需求后开展项目最终验收。 5.项目验收前，乙方应将项目有关的全部资料，包括产品合格证、检测证书、产品资料、技术文档等移交甲方，项目资料作为验收的重要依据。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自项目验收合格之日起3年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合同执行中发生争议的，当事人双方应协商解决，协商达不成一致时，可向人民法院提请诉讼。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要求：符合国家相关质量标准并满足采购人的采购要求。2.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2.本项目专门面向中小企业采购（残疾人福利性单位、监狱企业视同小型、微型企业）。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法人出具合法有效的营业执照，事业法人应提供事业单位法人等证明文件，其他组织应提供合法证明文件，自然人出具身份证明：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须提供法定代表人身份证明书）：法定代表人授权委托书（附法定代表人身份证复印件）及被授权委托人身份证（法定代表人参加投标须提供法定代表人身份证明书），授权书需法定代表人或被授权人签字或盖章，供应商需在项目电子化交易系统中按要求上传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提供2024年度完整的财务审计报告或开标时间前三个月内基本账户银行出具的资信证明，供应商需在项目电子化交易系统中按要求上传相应证明文件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月（任意税种）的缴纳证明或完税证明，纳税证明或完税证明上应有代收机构或税务机关的公章或业务专用章。依法免税的供应商应提供相关文件证明；成立时间至提交投标文件截止时间不足一年的，可提供成立后本年度任意时段税收缴纳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采购活动前6个月内任意一月的社会保障资金缴存单据或社保机构开具的社会保险参保缴费情况证明。依法不需要缴纳社会保障资金的供应商应提供相关文件证明；成立时间至提交投标文件截止时间不足一年的，可提供成立后本年度任意时段社保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①参加本次政府采购活动前3年内在经营活动中没有重大违纪的书面声明、②具有履行合同所必需的设备和专业技术能力的书面声明，供应商需在项目电子化交易系统中按要求上传相应证明文件并进行电子签章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提供“信用中国”网站(www.creditchina.gov.cn)、中国政府采购网(www.ccgp.gov.cn)等网页截图及信用中国报告，以开标后的网站查询记录为准</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关联关系承诺</w:t>
            </w:r>
          </w:p>
        </w:tc>
        <w:tc>
          <w:tcPr>
            <w:tcW w:type="dxa" w:w="3322"/>
          </w:tcPr>
          <w:p>
            <w:pPr>
              <w:pStyle w:val="null3"/>
            </w:pPr>
            <w:r>
              <w:rPr>
                <w:rFonts w:ascii="仿宋_GB2312" w:hAnsi="仿宋_GB2312" w:cs="仿宋_GB2312" w:eastAsia="仿宋_GB2312"/>
              </w:rPr>
              <w:t>单位负责人为同一人或者存在控股、管理关系的不同供应商，不得参加同一合同下的政府采购活动，供应商需在项目电子化交易系统中按要求上传相应证明文件并进行电子签章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（3）报价唯一：只能有一个有效报价，不得提交选择性报价，且报价不超过最高限价 （4）第一次谈判报价：第一次谈判报价不超过最高限价</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报价表 资格证明材料.docx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供货服务方案.docx 报价表 资格证明材料.docx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（1）对谈判文件响应程度：要求全面响应，不能有任何采购人不能接受的附加条件 （2）供货期：应满足谈判文件的要求 （3）供货地点：应满足谈判文件的要求 （4）谈判有效期：应满足谈判文件中的要求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供货服务方案.docx 报价表 资格证明材料.docx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详见附件：供货服务方案.docx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详见附件：高陵区农村“水暖炕”改造项目--拟签订的合同模板.docx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