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AF946">
      <w:pPr>
        <w:jc w:val="center"/>
        <w:rPr>
          <w:rFonts w:hint="eastAsia" w:ascii="仿宋" w:hAnsi="仿宋" w:eastAsia="仿宋" w:cs="仿宋"/>
          <w:color w:val="auto"/>
          <w:sz w:val="48"/>
          <w:szCs w:val="48"/>
          <w:highlight w:val="none"/>
        </w:rPr>
      </w:pPr>
    </w:p>
    <w:p w14:paraId="3C733976">
      <w:pPr>
        <w:jc w:val="center"/>
        <w:rPr>
          <w:rFonts w:hint="eastAsia" w:ascii="仿宋" w:hAnsi="仿宋" w:eastAsia="仿宋" w:cs="仿宋"/>
          <w:color w:val="auto"/>
          <w:sz w:val="48"/>
          <w:szCs w:val="48"/>
          <w:highlight w:val="none"/>
        </w:rPr>
      </w:pPr>
    </w:p>
    <w:p w14:paraId="5BCF3AC6">
      <w:pPr>
        <w:jc w:val="center"/>
        <w:rPr>
          <w:rFonts w:hint="eastAsia" w:ascii="仿宋" w:hAnsi="仿宋" w:eastAsia="仿宋" w:cs="仿宋"/>
          <w:color w:val="auto"/>
          <w:sz w:val="48"/>
          <w:szCs w:val="48"/>
          <w:highlight w:val="none"/>
        </w:rPr>
      </w:pPr>
      <w:r>
        <w:rPr>
          <w:rFonts w:hint="eastAsia" w:ascii="仿宋" w:hAnsi="仿宋" w:eastAsia="仿宋" w:cs="仿宋"/>
          <w:color w:val="auto"/>
          <w:sz w:val="48"/>
          <w:szCs w:val="48"/>
          <w:highlight w:val="none"/>
        </w:rPr>
        <w:t>西安市儿童医院</w:t>
      </w:r>
    </w:p>
    <w:p w14:paraId="3F0F3DB5">
      <w:pPr>
        <w:spacing w:line="240" w:lineRule="auto"/>
        <w:jc w:val="center"/>
        <w:rPr>
          <w:rFonts w:hint="eastAsia" w:ascii="仿宋" w:hAnsi="仿宋" w:eastAsia="仿宋" w:cs="仿宋"/>
          <w:b/>
          <w:color w:val="auto"/>
          <w:sz w:val="48"/>
          <w:szCs w:val="48"/>
          <w:highlight w:val="none"/>
          <w:lang w:eastAsia="zh-CN"/>
        </w:rPr>
      </w:pPr>
      <w:r>
        <w:rPr>
          <w:rFonts w:hint="eastAsia" w:ascii="仿宋" w:hAnsi="仿宋" w:eastAsia="仿宋" w:cs="仿宋"/>
          <w:b/>
          <w:color w:val="auto"/>
          <w:sz w:val="48"/>
          <w:szCs w:val="48"/>
          <w:highlight w:val="none"/>
          <w:u w:val="single"/>
          <w:lang w:eastAsia="zh-CN"/>
        </w:rPr>
        <w:t>安装人脸识别系统及安装报警系统项目</w:t>
      </w:r>
    </w:p>
    <w:p w14:paraId="03936943">
      <w:pPr>
        <w:spacing w:line="240" w:lineRule="auto"/>
        <w:jc w:val="center"/>
        <w:rPr>
          <w:rFonts w:hint="eastAsia" w:ascii="仿宋" w:hAnsi="仿宋" w:eastAsia="仿宋" w:cs="仿宋"/>
          <w:color w:val="auto"/>
          <w:sz w:val="30"/>
          <w:szCs w:val="30"/>
          <w:highlight w:val="none"/>
        </w:rPr>
      </w:pPr>
      <w:r>
        <w:rPr>
          <w:rFonts w:hint="eastAsia" w:ascii="仿宋" w:hAnsi="仿宋" w:eastAsia="仿宋" w:cs="仿宋"/>
          <w:b/>
          <w:color w:val="auto"/>
          <w:sz w:val="48"/>
          <w:szCs w:val="48"/>
          <w:highlight w:val="none"/>
          <w:lang w:val="en-US" w:eastAsia="zh-CN"/>
        </w:rPr>
        <w:t>货物</w:t>
      </w:r>
      <w:r>
        <w:rPr>
          <w:rFonts w:hint="eastAsia" w:ascii="仿宋" w:hAnsi="仿宋" w:eastAsia="仿宋" w:cs="仿宋"/>
          <w:b/>
          <w:color w:val="auto"/>
          <w:sz w:val="48"/>
          <w:szCs w:val="48"/>
          <w:highlight w:val="none"/>
        </w:rPr>
        <w:t>合同</w:t>
      </w:r>
    </w:p>
    <w:p w14:paraId="5469A816">
      <w:pPr>
        <w:ind w:firstLine="1440" w:firstLineChars="300"/>
        <w:jc w:val="left"/>
        <w:rPr>
          <w:rFonts w:hint="eastAsia" w:ascii="仿宋" w:hAnsi="仿宋" w:eastAsia="仿宋" w:cs="仿宋"/>
          <w:color w:val="auto"/>
          <w:sz w:val="48"/>
          <w:szCs w:val="48"/>
          <w:highlight w:val="none"/>
        </w:rPr>
      </w:pPr>
    </w:p>
    <w:p w14:paraId="7725EA91">
      <w:pPr>
        <w:ind w:firstLine="3150" w:firstLineChars="1050"/>
        <w:rPr>
          <w:rFonts w:hint="eastAsia" w:ascii="仿宋" w:hAnsi="仿宋" w:eastAsia="仿宋" w:cs="仿宋"/>
          <w:color w:val="auto"/>
          <w:sz w:val="30"/>
          <w:szCs w:val="30"/>
          <w:highlight w:val="none"/>
        </w:rPr>
      </w:pPr>
    </w:p>
    <w:p w14:paraId="1C5C499F">
      <w:pPr>
        <w:ind w:firstLine="3150" w:firstLineChars="1050"/>
        <w:rPr>
          <w:rFonts w:hint="eastAsia" w:ascii="仿宋" w:hAnsi="仿宋" w:eastAsia="仿宋" w:cs="仿宋"/>
          <w:color w:val="auto"/>
          <w:sz w:val="30"/>
          <w:szCs w:val="30"/>
          <w:highlight w:val="none"/>
        </w:rPr>
      </w:pPr>
    </w:p>
    <w:p w14:paraId="3FA1B0B0">
      <w:pPr>
        <w:ind w:firstLine="3150" w:firstLineChars="1050"/>
        <w:rPr>
          <w:rFonts w:hint="eastAsia" w:ascii="仿宋" w:hAnsi="仿宋" w:eastAsia="仿宋" w:cs="仿宋"/>
          <w:color w:val="auto"/>
          <w:sz w:val="30"/>
          <w:szCs w:val="30"/>
          <w:highlight w:val="none"/>
        </w:rPr>
      </w:pPr>
    </w:p>
    <w:p w14:paraId="43DEDC20">
      <w:pPr>
        <w:ind w:firstLine="3150" w:firstLineChars="1050"/>
        <w:rPr>
          <w:rFonts w:hint="eastAsia" w:ascii="仿宋" w:hAnsi="仿宋" w:eastAsia="仿宋" w:cs="仿宋"/>
          <w:color w:val="auto"/>
          <w:sz w:val="30"/>
          <w:szCs w:val="30"/>
          <w:highlight w:val="none"/>
        </w:rPr>
      </w:pPr>
    </w:p>
    <w:p w14:paraId="7AC670A4">
      <w:pPr>
        <w:rPr>
          <w:rFonts w:hint="eastAsia" w:ascii="仿宋" w:hAnsi="仿宋" w:eastAsia="仿宋" w:cs="仿宋"/>
          <w:color w:val="auto"/>
          <w:sz w:val="30"/>
          <w:szCs w:val="30"/>
          <w:highlight w:val="none"/>
        </w:rPr>
      </w:pPr>
    </w:p>
    <w:p w14:paraId="4ED03C39">
      <w:pPr>
        <w:spacing w:line="276" w:lineRule="auto"/>
        <w:ind w:firstLine="0" w:firstLineChars="0"/>
        <w:jc w:val="left"/>
        <w:rPr>
          <w:rFonts w:hint="eastAsia" w:ascii="仿宋" w:hAnsi="仿宋" w:eastAsia="仿宋" w:cs="仿宋"/>
          <w:color w:val="auto"/>
          <w:sz w:val="30"/>
          <w:szCs w:val="30"/>
          <w:highlight w:val="none"/>
        </w:rPr>
      </w:pPr>
    </w:p>
    <w:p w14:paraId="00CDA7F2">
      <w:pPr>
        <w:spacing w:line="276" w:lineRule="auto"/>
        <w:ind w:firstLine="2100" w:firstLineChars="700"/>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甲 方:</w:t>
      </w:r>
      <w:r>
        <w:rPr>
          <w:rFonts w:hint="eastAsia" w:ascii="仿宋" w:hAnsi="仿宋" w:eastAsia="仿宋" w:cs="仿宋"/>
          <w:color w:val="auto"/>
          <w:sz w:val="30"/>
          <w:szCs w:val="30"/>
          <w:highlight w:val="none"/>
          <w:u w:val="single"/>
        </w:rPr>
        <w:t>西安市儿童医院</w:t>
      </w:r>
    </w:p>
    <w:p w14:paraId="750B9963">
      <w:pPr>
        <w:spacing w:line="276" w:lineRule="auto"/>
        <w:ind w:firstLine="2100" w:firstLineChars="700"/>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乙 方:</w:t>
      </w:r>
    </w:p>
    <w:p w14:paraId="1146C348">
      <w:pPr>
        <w:spacing w:line="276" w:lineRule="auto"/>
        <w:ind w:firstLine="2100" w:firstLineChars="700"/>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鉴证方：</w:t>
      </w:r>
    </w:p>
    <w:p w14:paraId="3222A378">
      <w:pPr>
        <w:spacing w:line="276" w:lineRule="auto"/>
        <w:ind w:firstLine="2100" w:firstLineChars="700"/>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签订地点：</w:t>
      </w:r>
      <w:r>
        <w:rPr>
          <w:rFonts w:hint="eastAsia" w:ascii="仿宋" w:hAnsi="仿宋" w:eastAsia="仿宋" w:cs="仿宋"/>
          <w:color w:val="auto"/>
          <w:sz w:val="30"/>
          <w:szCs w:val="30"/>
          <w:highlight w:val="none"/>
          <w:u w:val="single"/>
        </w:rPr>
        <w:t>西安市儿童医院</w:t>
      </w:r>
    </w:p>
    <w:p w14:paraId="053C7049">
      <w:pPr>
        <w:spacing w:line="276" w:lineRule="auto"/>
        <w:ind w:firstLine="2100" w:firstLineChars="700"/>
        <w:jc w:val="left"/>
        <w:rPr>
          <w:rFonts w:hint="eastAsia" w:ascii="仿宋" w:hAnsi="仿宋" w:eastAsia="仿宋" w:cs="仿宋"/>
          <w:b/>
          <w:color w:val="auto"/>
          <w:sz w:val="30"/>
          <w:szCs w:val="30"/>
          <w:highlight w:val="none"/>
          <w:u w:val="single"/>
        </w:rPr>
      </w:pPr>
      <w:r>
        <w:rPr>
          <w:rFonts w:hint="eastAsia" w:ascii="仿宋" w:hAnsi="仿宋" w:eastAsia="仿宋" w:cs="仿宋"/>
          <w:color w:val="auto"/>
          <w:sz w:val="30"/>
          <w:szCs w:val="30"/>
          <w:highlight w:val="none"/>
        </w:rPr>
        <w:t>签订时间：</w:t>
      </w:r>
      <w:r>
        <w:rPr>
          <w:rFonts w:hint="eastAsia" w:ascii="仿宋" w:hAnsi="仿宋" w:eastAsia="仿宋" w:cs="仿宋"/>
          <w:color w:val="auto"/>
          <w:sz w:val="30"/>
          <w:szCs w:val="30"/>
          <w:highlight w:val="none"/>
          <w:u w:val="single"/>
        </w:rPr>
        <w:t>202</w:t>
      </w:r>
      <w:r>
        <w:rPr>
          <w:rFonts w:hint="eastAsia" w:ascii="仿宋" w:hAnsi="仿宋" w:eastAsia="仿宋" w:cs="仿宋"/>
          <w:color w:val="auto"/>
          <w:sz w:val="30"/>
          <w:szCs w:val="30"/>
          <w:highlight w:val="none"/>
          <w:u w:val="single"/>
          <w:lang w:val="en-US" w:eastAsia="zh-CN"/>
        </w:rPr>
        <w:t xml:space="preserve">5 </w:t>
      </w:r>
      <w:r>
        <w:rPr>
          <w:rFonts w:hint="eastAsia" w:ascii="仿宋" w:hAnsi="仿宋" w:eastAsia="仿宋" w:cs="仿宋"/>
          <w:color w:val="auto"/>
          <w:sz w:val="30"/>
          <w:szCs w:val="30"/>
          <w:highlight w:val="none"/>
        </w:rPr>
        <w:t>年</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月</w:t>
      </w:r>
    </w:p>
    <w:p w14:paraId="4EA4269C">
      <w:pPr>
        <w:spacing w:line="276" w:lineRule="auto"/>
        <w:jc w:val="center"/>
        <w:rPr>
          <w:rFonts w:hint="eastAsia" w:ascii="仿宋" w:hAnsi="仿宋" w:eastAsia="仿宋" w:cs="仿宋"/>
          <w:b/>
          <w:color w:val="auto"/>
          <w:sz w:val="36"/>
          <w:szCs w:val="36"/>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418" w:bottom="1440" w:left="1418" w:header="851" w:footer="992" w:gutter="0"/>
          <w:pgNumType w:start="0"/>
          <w:cols w:space="720" w:num="1"/>
          <w:titlePg/>
          <w:docGrid w:type="lines" w:linePitch="498" w:charSpace="0"/>
        </w:sectPr>
      </w:pPr>
    </w:p>
    <w:p w14:paraId="5F018787">
      <w:pPr>
        <w:spacing w:line="276"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货 物 合 同</w:t>
      </w:r>
    </w:p>
    <w:p w14:paraId="586F5E60">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甲方：西安市儿童医院</w:t>
      </w:r>
    </w:p>
    <w:p w14:paraId="03DDF1A0">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w:t>
      </w:r>
    </w:p>
    <w:p w14:paraId="28ECA0A3">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鉴证方：</w:t>
      </w:r>
    </w:p>
    <w:p w14:paraId="6EBFB1A7">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依据《中华人民共和国政府采购法》、《中华人民共和国民法典》，</w:t>
      </w:r>
      <w:r>
        <w:rPr>
          <w:rFonts w:hint="eastAsia" w:ascii="仿宋" w:hAnsi="仿宋" w:eastAsia="仿宋" w:cs="仿宋"/>
          <w:color w:val="auto"/>
          <w:spacing w:val="10"/>
          <w:sz w:val="21"/>
          <w:szCs w:val="21"/>
          <w:highlight w:val="none"/>
          <w:u w:val="single"/>
          <w:lang w:eastAsia="zh-CN"/>
        </w:rPr>
        <w:t>安装人脸识别系统及安装报警系统项目</w:t>
      </w:r>
      <w:r>
        <w:rPr>
          <w:rFonts w:hint="eastAsia" w:ascii="仿宋" w:hAnsi="仿宋" w:eastAsia="仿宋" w:cs="仿宋"/>
          <w:color w:val="auto"/>
          <w:sz w:val="21"/>
          <w:szCs w:val="21"/>
          <w:highlight w:val="none"/>
        </w:rPr>
        <w:t>(项目编号：</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)，在西安市财政局政府采购管理处的监督管理下，由</w:t>
      </w:r>
      <w:r>
        <w:rPr>
          <w:rFonts w:hint="eastAsia" w:ascii="仿宋" w:hAnsi="仿宋" w:eastAsia="仿宋" w:cs="仿宋"/>
          <w:color w:val="auto"/>
          <w:sz w:val="21"/>
          <w:szCs w:val="21"/>
          <w:highlight w:val="none"/>
          <w:lang w:val="en-US" w:eastAsia="zh-CN"/>
        </w:rPr>
        <w:t>xxx</w:t>
      </w:r>
      <w:r>
        <w:rPr>
          <w:rFonts w:hint="eastAsia" w:ascii="仿宋" w:hAnsi="仿宋" w:eastAsia="仿宋" w:cs="仿宋"/>
          <w:color w:val="auto"/>
          <w:sz w:val="21"/>
          <w:szCs w:val="21"/>
          <w:highlight w:val="none"/>
        </w:rPr>
        <w:t>组织竞争性谈判。西安市儿童医院(以下简称“甲方”)确定</w:t>
      </w:r>
      <w:r>
        <w:rPr>
          <w:rFonts w:hint="eastAsia" w:ascii="仿宋" w:hAnsi="仿宋" w:eastAsia="仿宋" w:cs="仿宋"/>
          <w:color w:val="auto"/>
          <w:sz w:val="21"/>
          <w:szCs w:val="21"/>
          <w:highlight w:val="none"/>
          <w:lang w:val="en-US" w:eastAsia="zh-CN"/>
        </w:rPr>
        <w:t>xxx</w:t>
      </w:r>
      <w:r>
        <w:rPr>
          <w:rFonts w:hint="eastAsia" w:ascii="仿宋" w:hAnsi="仿宋" w:eastAsia="仿宋" w:cs="仿宋"/>
          <w:color w:val="auto"/>
          <w:sz w:val="21"/>
          <w:szCs w:val="21"/>
          <w:highlight w:val="none"/>
        </w:rPr>
        <w:t>（以下简称“乙方”）为成交供应商。经鉴证方确认，甲、乙双方同意按照下面条款和条件，签署本合同。</w:t>
      </w:r>
    </w:p>
    <w:p w14:paraId="3188E43A">
      <w:pPr>
        <w:numPr>
          <w:ilvl w:val="0"/>
          <w:numId w:val="1"/>
        </w:numPr>
        <w:tabs>
          <w:tab w:val="left" w:pos="480"/>
        </w:tabs>
        <w:spacing w:line="360" w:lineRule="auto"/>
        <w:ind w:firstLine="342" w:firstLineChars="200"/>
        <w:rPr>
          <w:rFonts w:hint="eastAsia" w:ascii="仿宋" w:hAnsi="仿宋" w:eastAsia="仿宋" w:cs="仿宋"/>
          <w:b/>
          <w:color w:val="auto"/>
          <w:spacing w:val="-20"/>
          <w:kern w:val="0"/>
          <w:sz w:val="21"/>
          <w:szCs w:val="21"/>
          <w:highlight w:val="none"/>
        </w:rPr>
      </w:pPr>
      <w:r>
        <w:rPr>
          <w:rFonts w:hint="eastAsia" w:ascii="仿宋" w:hAnsi="仿宋" w:eastAsia="仿宋" w:cs="仿宋"/>
          <w:b/>
          <w:color w:val="auto"/>
          <w:spacing w:val="-20"/>
          <w:kern w:val="0"/>
          <w:sz w:val="21"/>
          <w:szCs w:val="21"/>
          <w:highlight w:val="none"/>
        </w:rPr>
        <w:t>合同标的物内容及数量</w:t>
      </w:r>
    </w:p>
    <w:p w14:paraId="66FA9C42">
      <w:pPr>
        <w:spacing w:line="360" w:lineRule="auto"/>
        <w:ind w:firstLine="422" w:firstLineChars="200"/>
        <w:jc w:val="right"/>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货币及单位:人民币/元</w:t>
      </w:r>
    </w:p>
    <w:tbl>
      <w:tblPr>
        <w:tblStyle w:val="6"/>
        <w:tblW w:w="4997" w:type="pct"/>
        <w:tblInd w:w="0" w:type="dxa"/>
        <w:tblLayout w:type="autofit"/>
        <w:tblCellMar>
          <w:top w:w="0" w:type="dxa"/>
          <w:left w:w="108" w:type="dxa"/>
          <w:bottom w:w="0" w:type="dxa"/>
          <w:right w:w="108" w:type="dxa"/>
        </w:tblCellMar>
      </w:tblPr>
      <w:tblGrid>
        <w:gridCol w:w="654"/>
        <w:gridCol w:w="1320"/>
        <w:gridCol w:w="3852"/>
        <w:gridCol w:w="859"/>
        <w:gridCol w:w="642"/>
        <w:gridCol w:w="1190"/>
      </w:tblGrid>
      <w:tr w14:paraId="16B3F8D8">
        <w:tblPrEx>
          <w:tblCellMar>
            <w:top w:w="0" w:type="dxa"/>
            <w:left w:w="108" w:type="dxa"/>
            <w:bottom w:w="0" w:type="dxa"/>
            <w:right w:w="108" w:type="dxa"/>
          </w:tblCellMar>
        </w:tblPrEx>
        <w:trPr>
          <w:trHeight w:val="390" w:hRule="atLeast"/>
        </w:trPr>
        <w:tc>
          <w:tcPr>
            <w:tcW w:w="38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3A231F">
            <w:pPr>
              <w:widowControl/>
              <w:spacing w:line="36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序号</w:t>
            </w:r>
          </w:p>
        </w:tc>
        <w:tc>
          <w:tcPr>
            <w:tcW w:w="77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6222048">
            <w:pPr>
              <w:widowControl/>
              <w:spacing w:line="36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货物名称</w:t>
            </w:r>
          </w:p>
        </w:tc>
        <w:tc>
          <w:tcPr>
            <w:tcW w:w="2261" w:type="pct"/>
            <w:tcBorders>
              <w:top w:val="single" w:color="000000" w:sz="8" w:space="0"/>
              <w:left w:val="nil"/>
              <w:bottom w:val="single" w:color="000000" w:sz="8" w:space="0"/>
              <w:right w:val="single" w:color="000000" w:sz="8" w:space="0"/>
            </w:tcBorders>
            <w:shd w:val="clear" w:color="auto" w:fill="auto"/>
            <w:noWrap/>
            <w:vAlign w:val="center"/>
          </w:tcPr>
          <w:p w14:paraId="286908B4">
            <w:pPr>
              <w:widowControl/>
              <w:spacing w:line="36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规格型号</w:t>
            </w:r>
          </w:p>
        </w:tc>
        <w:tc>
          <w:tcPr>
            <w:tcW w:w="504" w:type="pct"/>
            <w:tcBorders>
              <w:top w:val="single" w:color="000000" w:sz="8" w:space="0"/>
              <w:left w:val="nil"/>
              <w:bottom w:val="single" w:color="000000" w:sz="8" w:space="0"/>
              <w:right w:val="single" w:color="000000" w:sz="8" w:space="0"/>
            </w:tcBorders>
            <w:shd w:val="clear" w:color="auto" w:fill="auto"/>
            <w:noWrap/>
            <w:vAlign w:val="center"/>
          </w:tcPr>
          <w:p w14:paraId="54FB3FE5">
            <w:pPr>
              <w:widowControl/>
              <w:spacing w:line="36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单价</w:t>
            </w:r>
          </w:p>
        </w:tc>
        <w:tc>
          <w:tcPr>
            <w:tcW w:w="375" w:type="pct"/>
            <w:tcBorders>
              <w:top w:val="single" w:color="000000" w:sz="8" w:space="0"/>
              <w:left w:val="nil"/>
              <w:bottom w:val="single" w:color="000000" w:sz="8" w:space="0"/>
              <w:right w:val="single" w:color="000000" w:sz="8" w:space="0"/>
            </w:tcBorders>
            <w:shd w:val="clear" w:color="auto" w:fill="auto"/>
            <w:noWrap/>
            <w:vAlign w:val="center"/>
          </w:tcPr>
          <w:p w14:paraId="4520EF71">
            <w:pPr>
              <w:widowControl/>
              <w:spacing w:line="36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数量</w:t>
            </w:r>
          </w:p>
        </w:tc>
        <w:tc>
          <w:tcPr>
            <w:tcW w:w="698" w:type="pct"/>
            <w:tcBorders>
              <w:top w:val="single" w:color="000000" w:sz="8" w:space="0"/>
              <w:left w:val="nil"/>
              <w:bottom w:val="single" w:color="000000" w:sz="8" w:space="0"/>
              <w:right w:val="single" w:color="000000" w:sz="8" w:space="0"/>
            </w:tcBorders>
            <w:shd w:val="clear" w:color="auto" w:fill="auto"/>
            <w:noWrap/>
            <w:vAlign w:val="center"/>
          </w:tcPr>
          <w:p w14:paraId="3C02BE5D">
            <w:pPr>
              <w:widowControl/>
              <w:spacing w:line="36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总价</w:t>
            </w:r>
          </w:p>
        </w:tc>
      </w:tr>
      <w:tr w14:paraId="29CB9B73">
        <w:tblPrEx>
          <w:tblCellMar>
            <w:top w:w="0" w:type="dxa"/>
            <w:left w:w="108" w:type="dxa"/>
            <w:bottom w:w="0" w:type="dxa"/>
            <w:right w:w="108" w:type="dxa"/>
          </w:tblCellMar>
        </w:tblPrEx>
        <w:trPr>
          <w:trHeight w:val="2232" w:hRule="atLeast"/>
        </w:trPr>
        <w:tc>
          <w:tcPr>
            <w:tcW w:w="384" w:type="pct"/>
            <w:tcBorders>
              <w:top w:val="nil"/>
              <w:left w:val="single" w:color="000000" w:sz="8" w:space="0"/>
              <w:bottom w:val="single" w:color="000000" w:sz="8" w:space="0"/>
              <w:right w:val="single" w:color="000000" w:sz="8" w:space="0"/>
            </w:tcBorders>
            <w:shd w:val="clear" w:color="auto" w:fill="auto"/>
            <w:noWrap/>
            <w:vAlign w:val="center"/>
          </w:tcPr>
          <w:p w14:paraId="5A3D39C8">
            <w:pPr>
              <w:widowControl/>
              <w:spacing w:line="36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1</w:t>
            </w:r>
          </w:p>
        </w:tc>
        <w:tc>
          <w:tcPr>
            <w:tcW w:w="775" w:type="pct"/>
            <w:tcBorders>
              <w:top w:val="nil"/>
              <w:left w:val="nil"/>
              <w:bottom w:val="nil"/>
              <w:right w:val="nil"/>
            </w:tcBorders>
            <w:shd w:val="clear" w:color="auto" w:fill="auto"/>
            <w:vAlign w:val="center"/>
          </w:tcPr>
          <w:p w14:paraId="0A60DEBB">
            <w:pPr>
              <w:widowControl/>
              <w:spacing w:line="360" w:lineRule="auto"/>
              <w:jc w:val="center"/>
              <w:textAlignment w:val="center"/>
              <w:rPr>
                <w:rFonts w:hint="eastAsia" w:ascii="仿宋" w:hAnsi="仿宋" w:eastAsia="仿宋" w:cs="仿宋"/>
                <w:color w:val="auto"/>
                <w:sz w:val="21"/>
                <w:szCs w:val="21"/>
                <w:highlight w:val="none"/>
              </w:rPr>
            </w:pPr>
          </w:p>
        </w:tc>
        <w:tc>
          <w:tcPr>
            <w:tcW w:w="2261" w:type="pct"/>
            <w:tcBorders>
              <w:top w:val="nil"/>
              <w:left w:val="single" w:color="000000" w:sz="4" w:space="0"/>
              <w:bottom w:val="nil"/>
              <w:right w:val="single" w:color="000000" w:sz="4" w:space="0"/>
            </w:tcBorders>
            <w:shd w:val="clear" w:color="auto" w:fill="auto"/>
            <w:vAlign w:val="center"/>
          </w:tcPr>
          <w:p w14:paraId="64A933E5">
            <w:pPr>
              <w:widowControl/>
              <w:spacing w:line="360" w:lineRule="auto"/>
              <w:jc w:val="left"/>
              <w:textAlignment w:val="center"/>
              <w:rPr>
                <w:rFonts w:hint="eastAsia" w:ascii="仿宋" w:hAnsi="仿宋" w:eastAsia="仿宋" w:cs="仿宋"/>
                <w:color w:val="auto"/>
                <w:sz w:val="21"/>
                <w:szCs w:val="21"/>
                <w:highlight w:val="none"/>
              </w:rPr>
            </w:pPr>
          </w:p>
        </w:tc>
        <w:tc>
          <w:tcPr>
            <w:tcW w:w="504" w:type="pct"/>
            <w:tcBorders>
              <w:top w:val="nil"/>
              <w:left w:val="nil"/>
              <w:bottom w:val="single" w:color="000000" w:sz="8" w:space="0"/>
              <w:right w:val="single" w:color="000000" w:sz="8" w:space="0"/>
            </w:tcBorders>
            <w:shd w:val="clear" w:color="auto" w:fill="auto"/>
            <w:noWrap/>
            <w:vAlign w:val="center"/>
          </w:tcPr>
          <w:p w14:paraId="07FF2F86">
            <w:pPr>
              <w:widowControl/>
              <w:spacing w:line="360" w:lineRule="auto"/>
              <w:jc w:val="center"/>
              <w:textAlignment w:val="center"/>
              <w:rPr>
                <w:rFonts w:hint="eastAsia" w:ascii="仿宋" w:hAnsi="仿宋" w:eastAsia="仿宋" w:cs="仿宋"/>
                <w:color w:val="auto"/>
                <w:sz w:val="21"/>
                <w:szCs w:val="21"/>
                <w:highlight w:val="none"/>
              </w:rPr>
            </w:pPr>
          </w:p>
        </w:tc>
        <w:tc>
          <w:tcPr>
            <w:tcW w:w="375" w:type="pct"/>
            <w:tcBorders>
              <w:top w:val="nil"/>
              <w:left w:val="nil"/>
              <w:bottom w:val="single" w:color="000000" w:sz="8" w:space="0"/>
              <w:right w:val="single" w:color="000000" w:sz="8" w:space="0"/>
            </w:tcBorders>
            <w:shd w:val="clear" w:color="auto" w:fill="auto"/>
            <w:noWrap/>
            <w:vAlign w:val="center"/>
          </w:tcPr>
          <w:p w14:paraId="3DA80148">
            <w:pPr>
              <w:widowControl/>
              <w:spacing w:line="360" w:lineRule="auto"/>
              <w:jc w:val="center"/>
              <w:textAlignment w:val="center"/>
              <w:rPr>
                <w:rFonts w:hint="eastAsia" w:ascii="仿宋" w:hAnsi="仿宋" w:eastAsia="仿宋" w:cs="仿宋"/>
                <w:color w:val="auto"/>
                <w:sz w:val="21"/>
                <w:szCs w:val="21"/>
                <w:highlight w:val="none"/>
              </w:rPr>
            </w:pPr>
          </w:p>
        </w:tc>
        <w:tc>
          <w:tcPr>
            <w:tcW w:w="698" w:type="pct"/>
            <w:tcBorders>
              <w:top w:val="nil"/>
              <w:left w:val="nil"/>
              <w:bottom w:val="single" w:color="000000" w:sz="8" w:space="0"/>
              <w:right w:val="single" w:color="000000" w:sz="8" w:space="0"/>
            </w:tcBorders>
            <w:shd w:val="clear" w:color="auto" w:fill="auto"/>
            <w:noWrap/>
            <w:vAlign w:val="center"/>
          </w:tcPr>
          <w:p w14:paraId="6B1040FE">
            <w:pPr>
              <w:widowControl/>
              <w:spacing w:line="360" w:lineRule="auto"/>
              <w:jc w:val="center"/>
              <w:textAlignment w:val="center"/>
              <w:rPr>
                <w:rFonts w:hint="eastAsia" w:ascii="仿宋" w:hAnsi="仿宋" w:eastAsia="仿宋" w:cs="仿宋"/>
                <w:color w:val="auto"/>
                <w:sz w:val="21"/>
                <w:szCs w:val="21"/>
                <w:highlight w:val="none"/>
              </w:rPr>
            </w:pPr>
          </w:p>
        </w:tc>
      </w:tr>
      <w:tr w14:paraId="0A6445C8">
        <w:tblPrEx>
          <w:tblCellMar>
            <w:top w:w="0" w:type="dxa"/>
            <w:left w:w="108" w:type="dxa"/>
            <w:bottom w:w="0" w:type="dxa"/>
            <w:right w:w="108" w:type="dxa"/>
          </w:tblCellMar>
        </w:tblPrEx>
        <w:trPr>
          <w:trHeight w:val="390" w:hRule="atLeast"/>
        </w:trPr>
        <w:tc>
          <w:tcPr>
            <w:tcW w:w="384" w:type="pct"/>
            <w:tcBorders>
              <w:top w:val="nil"/>
              <w:left w:val="single" w:color="000000" w:sz="8" w:space="0"/>
              <w:bottom w:val="single" w:color="000000" w:sz="8" w:space="0"/>
              <w:right w:val="nil"/>
            </w:tcBorders>
            <w:shd w:val="clear" w:color="auto" w:fill="auto"/>
            <w:noWrap/>
            <w:vAlign w:val="center"/>
          </w:tcPr>
          <w:p w14:paraId="23DA8EDF">
            <w:pPr>
              <w:widowControl/>
              <w:spacing w:line="36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2</w:t>
            </w:r>
          </w:p>
        </w:tc>
        <w:tc>
          <w:tcPr>
            <w:tcW w:w="775" w:type="pct"/>
            <w:tcBorders>
              <w:top w:val="single" w:color="000000" w:sz="8" w:space="0"/>
              <w:left w:val="single" w:color="000000" w:sz="8" w:space="0"/>
              <w:bottom w:val="single" w:color="000000" w:sz="8" w:space="0"/>
              <w:right w:val="single" w:color="000000" w:sz="4" w:space="0"/>
            </w:tcBorders>
            <w:shd w:val="clear" w:color="auto" w:fill="auto"/>
            <w:noWrap/>
            <w:vAlign w:val="center"/>
          </w:tcPr>
          <w:p w14:paraId="7B3DBB9C">
            <w:pPr>
              <w:widowControl/>
              <w:spacing w:line="36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含税合计</w:t>
            </w:r>
          </w:p>
        </w:tc>
        <w:tc>
          <w:tcPr>
            <w:tcW w:w="3142" w:type="pct"/>
            <w:gridSpan w:val="3"/>
            <w:tcBorders>
              <w:top w:val="single" w:color="000000" w:sz="8" w:space="0"/>
              <w:left w:val="nil"/>
              <w:bottom w:val="single" w:color="000000" w:sz="8" w:space="0"/>
              <w:right w:val="single" w:color="000000" w:sz="8" w:space="0"/>
            </w:tcBorders>
            <w:shd w:val="clear" w:color="auto" w:fill="auto"/>
            <w:noWrap/>
            <w:vAlign w:val="center"/>
          </w:tcPr>
          <w:p w14:paraId="0E06F667">
            <w:pPr>
              <w:widowControl/>
              <w:spacing w:line="36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大写：</w:t>
            </w:r>
          </w:p>
        </w:tc>
        <w:tc>
          <w:tcPr>
            <w:tcW w:w="698" w:type="pct"/>
            <w:tcBorders>
              <w:top w:val="nil"/>
              <w:left w:val="nil"/>
              <w:bottom w:val="single" w:color="000000" w:sz="8" w:space="0"/>
              <w:right w:val="single" w:color="000000" w:sz="8" w:space="0"/>
            </w:tcBorders>
            <w:shd w:val="clear" w:color="auto" w:fill="auto"/>
            <w:noWrap/>
            <w:vAlign w:val="center"/>
          </w:tcPr>
          <w:p w14:paraId="1F0A657D">
            <w:pPr>
              <w:widowControl/>
              <w:spacing w:line="360" w:lineRule="auto"/>
              <w:jc w:val="center"/>
              <w:textAlignment w:val="center"/>
              <w:rPr>
                <w:rFonts w:hint="eastAsia" w:ascii="仿宋" w:hAnsi="仿宋" w:eastAsia="仿宋" w:cs="仿宋"/>
                <w:color w:val="auto"/>
                <w:sz w:val="21"/>
                <w:szCs w:val="21"/>
                <w:highlight w:val="none"/>
              </w:rPr>
            </w:pPr>
          </w:p>
        </w:tc>
      </w:tr>
    </w:tbl>
    <w:p w14:paraId="30C0A1C0">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产品技术参数：详见附件一。</w:t>
      </w:r>
    </w:p>
    <w:p w14:paraId="317F8EDB">
      <w:pPr>
        <w:tabs>
          <w:tab w:val="left" w:pos="480"/>
        </w:tabs>
        <w:spacing w:line="360" w:lineRule="auto"/>
        <w:ind w:firstLine="335" w:firstLineChars="196"/>
        <w:rPr>
          <w:rFonts w:hint="eastAsia" w:ascii="仿宋" w:hAnsi="仿宋" w:eastAsia="仿宋" w:cs="仿宋"/>
          <w:b/>
          <w:color w:val="auto"/>
          <w:spacing w:val="-20"/>
          <w:kern w:val="0"/>
          <w:sz w:val="21"/>
          <w:szCs w:val="21"/>
          <w:highlight w:val="none"/>
        </w:rPr>
      </w:pPr>
      <w:r>
        <w:rPr>
          <w:rFonts w:hint="eastAsia" w:ascii="仿宋" w:hAnsi="仿宋" w:eastAsia="仿宋" w:cs="仿宋"/>
          <w:b/>
          <w:color w:val="auto"/>
          <w:spacing w:val="-20"/>
          <w:kern w:val="0"/>
          <w:sz w:val="21"/>
          <w:szCs w:val="21"/>
          <w:highlight w:val="none"/>
        </w:rPr>
        <w:t>二、</w:t>
      </w:r>
      <w:r>
        <w:rPr>
          <w:rFonts w:hint="eastAsia" w:ascii="仿宋" w:hAnsi="仿宋" w:eastAsia="仿宋" w:cs="仿宋"/>
          <w:b/>
          <w:color w:val="auto"/>
          <w:spacing w:val="-20"/>
          <w:kern w:val="0"/>
          <w:sz w:val="21"/>
          <w:szCs w:val="21"/>
          <w:highlight w:val="none"/>
          <w:lang w:val="en-US" w:eastAsia="zh-CN"/>
        </w:rPr>
        <w:t>安装</w:t>
      </w:r>
      <w:r>
        <w:rPr>
          <w:rFonts w:hint="eastAsia" w:ascii="仿宋" w:hAnsi="仿宋" w:eastAsia="仿宋" w:cs="仿宋"/>
          <w:b/>
          <w:color w:val="auto"/>
          <w:spacing w:val="-20"/>
          <w:kern w:val="0"/>
          <w:sz w:val="21"/>
          <w:szCs w:val="21"/>
          <w:highlight w:val="none"/>
        </w:rPr>
        <w:t>条件：</w:t>
      </w:r>
    </w:p>
    <w:p w14:paraId="55FECE53">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w:t>
      </w:r>
      <w:r>
        <w:rPr>
          <w:rFonts w:hint="eastAsia" w:ascii="仿宋" w:hAnsi="仿宋" w:eastAsia="仿宋" w:cs="仿宋"/>
          <w:color w:val="auto"/>
          <w:sz w:val="21"/>
          <w:szCs w:val="21"/>
          <w:highlight w:val="none"/>
          <w:lang w:val="en-US" w:eastAsia="zh-CN"/>
        </w:rPr>
        <w:t>安装</w:t>
      </w:r>
      <w:r>
        <w:rPr>
          <w:rFonts w:hint="eastAsia" w:ascii="仿宋" w:hAnsi="仿宋" w:eastAsia="仿宋" w:cs="仿宋"/>
          <w:color w:val="auto"/>
          <w:sz w:val="21"/>
          <w:szCs w:val="21"/>
          <w:highlight w:val="none"/>
        </w:rPr>
        <w:t>地点：甲方指定地点。</w:t>
      </w:r>
    </w:p>
    <w:p w14:paraId="4BCE968E">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（二）交付时限：签订合同后，</w:t>
      </w:r>
      <w:r>
        <w:rPr>
          <w:rFonts w:hint="eastAsia" w:ascii="仿宋" w:hAnsi="仿宋" w:eastAsia="仿宋" w:cs="仿宋"/>
          <w:color w:val="auto"/>
          <w:sz w:val="21"/>
          <w:szCs w:val="21"/>
          <w:highlight w:val="none"/>
          <w:lang w:val="en-US" w:eastAsia="zh-CN"/>
        </w:rPr>
        <w:t>xx</w:t>
      </w:r>
      <w:r>
        <w:rPr>
          <w:rFonts w:hint="eastAsia" w:ascii="仿宋" w:hAnsi="仿宋" w:eastAsia="仿宋" w:cs="仿宋"/>
          <w:color w:val="auto"/>
          <w:sz w:val="21"/>
          <w:szCs w:val="21"/>
          <w:highlight w:val="none"/>
        </w:rPr>
        <w:t>个日历日内完成安装部署完成，试运行</w:t>
      </w:r>
      <w:r>
        <w:rPr>
          <w:rFonts w:hint="eastAsia" w:ascii="仿宋" w:hAnsi="仿宋" w:eastAsia="仿宋" w:cs="仿宋"/>
          <w:color w:val="auto"/>
          <w:sz w:val="21"/>
          <w:szCs w:val="21"/>
          <w:highlight w:val="none"/>
          <w:lang w:val="en-US" w:eastAsia="zh-CN"/>
        </w:rPr>
        <w:t>xx</w:t>
      </w:r>
      <w:r>
        <w:rPr>
          <w:rFonts w:hint="eastAsia" w:ascii="仿宋" w:hAnsi="仿宋" w:eastAsia="仿宋" w:cs="仿宋"/>
          <w:color w:val="auto"/>
          <w:sz w:val="21"/>
          <w:szCs w:val="21"/>
          <w:highlight w:val="none"/>
        </w:rPr>
        <w:t>天试用正常后组织验收，保证在甲方要求的日期正式上线运行，并交付</w:t>
      </w:r>
      <w:r>
        <w:rPr>
          <w:rFonts w:hint="eastAsia" w:ascii="仿宋" w:hAnsi="仿宋" w:eastAsia="仿宋" w:cs="仿宋"/>
          <w:color w:val="auto"/>
          <w:sz w:val="21"/>
          <w:szCs w:val="21"/>
          <w:highlight w:val="none"/>
          <w:lang w:val="en-US" w:eastAsia="zh-CN"/>
        </w:rPr>
        <w:t>甲方</w:t>
      </w:r>
      <w:r>
        <w:rPr>
          <w:rFonts w:hint="eastAsia" w:ascii="仿宋" w:hAnsi="仿宋" w:eastAsia="仿宋" w:cs="仿宋"/>
          <w:color w:val="auto"/>
          <w:sz w:val="21"/>
          <w:szCs w:val="21"/>
          <w:highlight w:val="none"/>
        </w:rPr>
        <w:t>验收合格，不得延期。</w:t>
      </w:r>
    </w:p>
    <w:p w14:paraId="51668AF8">
      <w:pPr>
        <w:tabs>
          <w:tab w:val="left" w:pos="480"/>
        </w:tabs>
        <w:spacing w:line="360" w:lineRule="auto"/>
        <w:ind w:firstLine="342" w:firstLineChars="200"/>
        <w:rPr>
          <w:rFonts w:hint="eastAsia" w:ascii="仿宋" w:hAnsi="仿宋" w:eastAsia="仿宋" w:cs="仿宋"/>
          <w:b/>
          <w:color w:val="auto"/>
          <w:spacing w:val="-20"/>
          <w:kern w:val="0"/>
          <w:sz w:val="21"/>
          <w:szCs w:val="21"/>
          <w:highlight w:val="none"/>
        </w:rPr>
      </w:pPr>
      <w:r>
        <w:rPr>
          <w:rFonts w:hint="eastAsia" w:ascii="仿宋" w:hAnsi="仿宋" w:eastAsia="仿宋" w:cs="仿宋"/>
          <w:b/>
          <w:color w:val="auto"/>
          <w:spacing w:val="-20"/>
          <w:kern w:val="0"/>
          <w:sz w:val="21"/>
          <w:szCs w:val="21"/>
          <w:highlight w:val="none"/>
        </w:rPr>
        <w:t>三、</w:t>
      </w:r>
      <w:r>
        <w:rPr>
          <w:rFonts w:hint="eastAsia" w:ascii="仿宋" w:hAnsi="仿宋" w:eastAsia="仿宋" w:cs="仿宋"/>
          <w:b/>
          <w:color w:val="auto"/>
          <w:spacing w:val="-20"/>
          <w:kern w:val="0"/>
          <w:sz w:val="21"/>
          <w:szCs w:val="21"/>
          <w:highlight w:val="none"/>
          <w:lang w:val="en-US" w:eastAsia="zh-CN"/>
        </w:rPr>
        <w:t>货物</w:t>
      </w:r>
      <w:r>
        <w:rPr>
          <w:rFonts w:hint="eastAsia" w:ascii="仿宋" w:hAnsi="仿宋" w:eastAsia="仿宋" w:cs="仿宋"/>
          <w:b/>
          <w:color w:val="auto"/>
          <w:spacing w:val="-20"/>
          <w:kern w:val="0"/>
          <w:sz w:val="21"/>
          <w:szCs w:val="21"/>
          <w:highlight w:val="none"/>
        </w:rPr>
        <w:t>服务内容</w:t>
      </w:r>
    </w:p>
    <w:p w14:paraId="4AF843D8">
      <w:pPr>
        <w:pStyle w:val="2"/>
        <w:spacing w:line="360" w:lineRule="auto"/>
        <w:ind w:firstLine="452" w:firstLineChars="200"/>
        <w:rPr>
          <w:rFonts w:hint="eastAsia" w:ascii="仿宋" w:hAnsi="仿宋" w:eastAsia="仿宋" w:cs="仿宋"/>
          <w:color w:val="auto"/>
          <w:spacing w:val="8"/>
          <w:sz w:val="21"/>
          <w:szCs w:val="21"/>
          <w:highlight w:val="none"/>
          <w:lang w:val="en-US" w:eastAsia="zh-CN"/>
        </w:rPr>
      </w:pPr>
      <w:r>
        <w:rPr>
          <w:rFonts w:hint="eastAsia" w:ascii="仿宋" w:hAnsi="仿宋" w:eastAsia="仿宋" w:cs="仿宋"/>
          <w:color w:val="auto"/>
          <w:spacing w:val="8"/>
          <w:sz w:val="21"/>
          <w:szCs w:val="21"/>
          <w:highlight w:val="none"/>
          <w:lang w:val="en-US" w:eastAsia="zh-CN"/>
        </w:rPr>
        <w:t>1、项目验收合格后，每年不低于4次的例行维护及巡检。例行维护内容包括：软件的功能增强性维护等应用软件系统扩充升级（其中包括系统维护、跟踪检测），保证系统正常运行。</w:t>
      </w:r>
    </w:p>
    <w:p w14:paraId="4EF659F8">
      <w:pPr>
        <w:pStyle w:val="2"/>
        <w:spacing w:line="360" w:lineRule="auto"/>
        <w:ind w:firstLine="452" w:firstLineChars="200"/>
        <w:rPr>
          <w:rFonts w:hint="eastAsia" w:ascii="仿宋" w:hAnsi="仿宋" w:eastAsia="仿宋" w:cs="仿宋"/>
          <w:color w:val="auto"/>
          <w:spacing w:val="8"/>
          <w:sz w:val="21"/>
          <w:szCs w:val="21"/>
          <w:highlight w:val="none"/>
          <w:lang w:val="en-US" w:eastAsia="zh-CN"/>
        </w:rPr>
      </w:pPr>
      <w:r>
        <w:rPr>
          <w:rFonts w:hint="eastAsia" w:ascii="仿宋" w:hAnsi="仿宋" w:eastAsia="仿宋" w:cs="仿宋"/>
          <w:color w:val="auto"/>
          <w:spacing w:val="8"/>
          <w:sz w:val="21"/>
          <w:szCs w:val="21"/>
          <w:highlight w:val="none"/>
          <w:lang w:val="en-US" w:eastAsia="zh-CN"/>
        </w:rPr>
        <w:t>2、在质保期内对售后服务需求提供10分钟内响应，1小时内到达现场实施维修。24小时仍未排除故障、恢复正常运转的，由供货商提供同类型备品、备件等。</w:t>
      </w:r>
    </w:p>
    <w:p w14:paraId="0102D15C">
      <w:pPr>
        <w:tabs>
          <w:tab w:val="left" w:pos="480"/>
        </w:tabs>
        <w:spacing w:line="360" w:lineRule="auto"/>
        <w:ind w:firstLine="335" w:firstLineChars="196"/>
        <w:rPr>
          <w:rFonts w:hint="eastAsia" w:ascii="仿宋" w:hAnsi="仿宋" w:eastAsia="仿宋" w:cs="仿宋"/>
          <w:b/>
          <w:color w:val="auto"/>
          <w:spacing w:val="-20"/>
          <w:kern w:val="0"/>
          <w:sz w:val="21"/>
          <w:szCs w:val="21"/>
          <w:highlight w:val="none"/>
        </w:rPr>
      </w:pPr>
      <w:r>
        <w:rPr>
          <w:rFonts w:hint="eastAsia" w:ascii="仿宋" w:hAnsi="仿宋" w:eastAsia="仿宋" w:cs="仿宋"/>
          <w:b/>
          <w:color w:val="auto"/>
          <w:spacing w:val="-20"/>
          <w:kern w:val="0"/>
          <w:sz w:val="21"/>
          <w:szCs w:val="21"/>
          <w:highlight w:val="none"/>
        </w:rPr>
        <w:t>三、合同价款</w:t>
      </w:r>
    </w:p>
    <w:p w14:paraId="2ED8C4DA">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（一）合同总价款为人民币（大写）</w:t>
      </w:r>
      <w:r>
        <w:rPr>
          <w:rFonts w:hint="eastAsia" w:ascii="仿宋" w:hAnsi="仿宋" w:eastAsia="仿宋" w:cs="仿宋"/>
          <w:color w:val="auto"/>
          <w:sz w:val="21"/>
          <w:szCs w:val="21"/>
          <w:highlight w:val="none"/>
          <w:lang w:val="en-US" w:eastAsia="zh-CN"/>
        </w:rPr>
        <w:t>xx</w:t>
      </w:r>
      <w:r>
        <w:rPr>
          <w:rFonts w:hint="eastAsia" w:ascii="仿宋" w:hAnsi="仿宋" w:eastAsia="仿宋" w:cs="仿宋"/>
          <w:color w:val="auto"/>
          <w:sz w:val="21"/>
          <w:szCs w:val="21"/>
          <w:highlight w:val="none"/>
        </w:rPr>
        <w:t>元整；¥</w:t>
      </w:r>
      <w:r>
        <w:rPr>
          <w:rFonts w:hint="eastAsia" w:ascii="仿宋" w:hAnsi="仿宋" w:eastAsia="仿宋" w:cs="仿宋"/>
          <w:color w:val="auto"/>
          <w:sz w:val="21"/>
          <w:szCs w:val="21"/>
          <w:highlight w:val="none"/>
          <w:u w:val="single"/>
          <w:lang w:val="en-US" w:eastAsia="zh-CN"/>
        </w:rPr>
        <w:t>xx</w:t>
      </w:r>
      <w:r>
        <w:rPr>
          <w:rFonts w:hint="eastAsia" w:ascii="仿宋" w:hAnsi="仿宋" w:eastAsia="仿宋" w:cs="仿宋"/>
          <w:color w:val="auto"/>
          <w:sz w:val="21"/>
          <w:szCs w:val="21"/>
          <w:highlight w:val="none"/>
        </w:rPr>
        <w:t>元。</w:t>
      </w:r>
    </w:p>
    <w:p w14:paraId="798668CA">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（二）合同总价包括但不限于：软件费、运维服务费、人工费、安装费、检测费及其他伴随费用、税费等完成本项目所需的一切费用。</w:t>
      </w:r>
    </w:p>
    <w:p w14:paraId="0ACDA30A">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（三）合同总价一次性包死，不受市场价格变化因素的影响。</w:t>
      </w:r>
    </w:p>
    <w:p w14:paraId="51EF2FFF">
      <w:pPr>
        <w:tabs>
          <w:tab w:val="left" w:pos="480"/>
        </w:tabs>
        <w:spacing w:line="360" w:lineRule="auto"/>
        <w:ind w:firstLine="335" w:firstLineChars="196"/>
        <w:rPr>
          <w:rFonts w:hint="eastAsia" w:ascii="仿宋" w:hAnsi="仿宋" w:eastAsia="仿宋" w:cs="仿宋"/>
          <w:b/>
          <w:color w:val="auto"/>
          <w:spacing w:val="-20"/>
          <w:kern w:val="0"/>
          <w:sz w:val="21"/>
          <w:szCs w:val="21"/>
          <w:highlight w:val="none"/>
        </w:rPr>
      </w:pPr>
      <w:r>
        <w:rPr>
          <w:rFonts w:hint="eastAsia" w:ascii="仿宋" w:hAnsi="仿宋" w:eastAsia="仿宋" w:cs="仿宋"/>
          <w:b/>
          <w:color w:val="auto"/>
          <w:spacing w:val="-20"/>
          <w:kern w:val="0"/>
          <w:sz w:val="21"/>
          <w:szCs w:val="21"/>
          <w:highlight w:val="none"/>
        </w:rPr>
        <w:t>四、款项结算</w:t>
      </w:r>
    </w:p>
    <w:p w14:paraId="3F5CF411">
      <w:pPr>
        <w:keepNext w:val="0"/>
        <w:keepLines w:val="0"/>
        <w:pageBreakBefore w:val="0"/>
        <w:widowControl/>
        <w:wordWrap/>
        <w:overflowPunct/>
        <w:topLinePunct w:val="0"/>
        <w:autoSpaceDE/>
        <w:autoSpaceDN/>
        <w:bidi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（一）结算比例</w:t>
      </w:r>
    </w:p>
    <w:p w14:paraId="062203C4">
      <w:pPr>
        <w:keepNext w:val="0"/>
        <w:keepLines w:val="0"/>
        <w:pageBreakBefore w:val="0"/>
        <w:widowControl/>
        <w:numPr>
          <w:ilvl w:val="255"/>
          <w:numId w:val="0"/>
        </w:numPr>
        <w:kinsoku w:val="0"/>
        <w:wordWrap/>
        <w:overflowPunct/>
        <w:topLinePunct w:val="0"/>
        <w:autoSpaceDE/>
        <w:autoSpaceDN/>
        <w:bidi w:val="0"/>
        <w:adjustRightInd w:val="0"/>
        <w:snapToGrid w:val="0"/>
        <w:spacing w:line="360" w:lineRule="auto"/>
        <w:ind w:firstLine="420" w:firstLineChars="200"/>
        <w:jc w:val="left"/>
        <w:textAlignment w:val="baseline"/>
        <w:rPr>
          <w:rFonts w:hint="default" w:ascii="仿宋_GB2312" w:hAnsi="仿宋_GB2312" w:eastAsia="仿宋_GB2312" w:cs="仿宋_GB2312"/>
          <w:b w:val="0"/>
          <w:bCs w:val="0"/>
          <w:i w:val="0"/>
          <w:iCs w:val="0"/>
          <w:color w:val="auto"/>
          <w:kern w:val="2"/>
          <w:sz w:val="20"/>
          <w:szCs w:val="20"/>
          <w:highlight w:val="none"/>
          <w:vertAlign w:val="baseline"/>
          <w:lang w:val="en-US" w:eastAsia="zh-CN" w:bidi="ar-SA"/>
        </w:rPr>
      </w:pPr>
      <w:r>
        <w:rPr>
          <w:rFonts w:hint="eastAsia" w:ascii="仿宋" w:hAnsi="仿宋" w:eastAsia="仿宋" w:cs="仿宋"/>
          <w:color w:val="auto"/>
          <w:kern w:val="2"/>
          <w:sz w:val="21"/>
          <w:szCs w:val="21"/>
          <w:highlight w:val="none"/>
          <w:lang w:val="en-US" w:eastAsia="zh-CN" w:bidi="ar-SA"/>
        </w:rPr>
        <w:t>货物验收合格后，30个工作日内向供货单位支付合同总价的95%，留5%合同余款，质保期期满后支付该余款。</w:t>
      </w:r>
    </w:p>
    <w:p w14:paraId="663B5640">
      <w:pPr>
        <w:widowControl/>
        <w:numPr>
          <w:ilvl w:val="255"/>
          <w:numId w:val="0"/>
        </w:numPr>
        <w:kinsoku w:val="0"/>
        <w:adjustRightInd w:val="0"/>
        <w:snapToGrid w:val="0"/>
        <w:spacing w:line="360" w:lineRule="auto"/>
        <w:ind w:firstLine="840" w:firstLineChars="400"/>
        <w:jc w:val="left"/>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支付方式：银行转账。</w:t>
      </w:r>
    </w:p>
    <w:p w14:paraId="6620BF40">
      <w:pPr>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乙方信息如下：</w:t>
      </w:r>
    </w:p>
    <w:p w14:paraId="1B5C0AD3">
      <w:pPr>
        <w:pStyle w:val="3"/>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开户行：</w:t>
      </w:r>
    </w:p>
    <w:p w14:paraId="3EAC3E41">
      <w:pPr>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户名：</w:t>
      </w:r>
    </w:p>
    <w:p w14:paraId="6A6152E6">
      <w:pPr>
        <w:pStyle w:val="3"/>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账号：</w:t>
      </w:r>
    </w:p>
    <w:p w14:paraId="31FBB776">
      <w:pPr>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纳税人识别号：</w:t>
      </w:r>
    </w:p>
    <w:p w14:paraId="2AC7D8FE">
      <w:pPr>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p>
    <w:p w14:paraId="2EF83E61">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二</w:t>
      </w:r>
      <w:r>
        <w:rPr>
          <w:rFonts w:hint="eastAsia" w:ascii="仿宋" w:hAnsi="仿宋" w:eastAsia="仿宋" w:cs="仿宋"/>
          <w:color w:val="auto"/>
          <w:sz w:val="21"/>
          <w:szCs w:val="21"/>
          <w:highlight w:val="none"/>
        </w:rPr>
        <w:t>）结算方式：验收合格后，乙方持成交通知书、服务合同、正式发票、项目验收单，与甲方结算。</w:t>
      </w:r>
      <w:bookmarkStart w:id="0" w:name="_GoBack"/>
      <w:bookmarkEnd w:id="0"/>
    </w:p>
    <w:p w14:paraId="70D3C865">
      <w:pPr>
        <w:spacing w:line="360" w:lineRule="auto"/>
        <w:ind w:firstLine="342" w:firstLineChars="200"/>
        <w:rPr>
          <w:rFonts w:hint="eastAsia" w:ascii="仿宋" w:hAnsi="仿宋" w:eastAsia="仿宋" w:cs="仿宋"/>
          <w:b/>
          <w:color w:val="auto"/>
          <w:spacing w:val="-20"/>
          <w:kern w:val="0"/>
          <w:sz w:val="21"/>
          <w:szCs w:val="21"/>
          <w:highlight w:val="none"/>
        </w:rPr>
      </w:pPr>
      <w:r>
        <w:rPr>
          <w:rFonts w:hint="eastAsia" w:ascii="仿宋" w:hAnsi="仿宋" w:eastAsia="仿宋" w:cs="仿宋"/>
          <w:b/>
          <w:color w:val="auto"/>
          <w:spacing w:val="-20"/>
          <w:kern w:val="0"/>
          <w:sz w:val="21"/>
          <w:szCs w:val="21"/>
          <w:highlight w:val="none"/>
        </w:rPr>
        <w:t>五、双方的权利和义务</w:t>
      </w:r>
    </w:p>
    <w:p w14:paraId="009A8949">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（一）甲方的权利和义务</w:t>
      </w:r>
    </w:p>
    <w:p w14:paraId="510CD106">
      <w:pPr>
        <w:widowControl/>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1、负责检查监督乙方管理工作的实施及制度的执行情况。</w:t>
      </w:r>
    </w:p>
    <w:p w14:paraId="2697799A">
      <w:pPr>
        <w:widowControl/>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2、根据本合同规定，按时向乙方支付应付服务费用。</w:t>
      </w:r>
    </w:p>
    <w:p w14:paraId="09FFC3B4">
      <w:pPr>
        <w:widowControl/>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3、国家法律、法规所规定由甲方承担的其它责任。</w:t>
      </w:r>
    </w:p>
    <w:p w14:paraId="29D2985B">
      <w:pPr>
        <w:numPr>
          <w:ilvl w:val="0"/>
          <w:numId w:val="2"/>
        </w:num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乙方的权利和义务</w:t>
      </w:r>
    </w:p>
    <w:p w14:paraId="4DBC182F">
      <w:pPr>
        <w:widowControl/>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1、根据本合同的规定向甲方收取相关服务费用，并有权在本项目管理范围内管理及合理使用。</w:t>
      </w:r>
    </w:p>
    <w:p w14:paraId="0BA0822F">
      <w:pPr>
        <w:widowControl/>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lang w:val="en-US" w:eastAsia="zh-CN"/>
        </w:rPr>
        <w:t>5日内</w:t>
      </w:r>
      <w:r>
        <w:rPr>
          <w:rFonts w:hint="eastAsia" w:ascii="仿宋" w:hAnsi="仿宋" w:eastAsia="仿宋" w:cs="仿宋"/>
          <w:color w:val="auto"/>
          <w:sz w:val="21"/>
          <w:szCs w:val="21"/>
          <w:highlight w:val="none"/>
        </w:rPr>
        <w:t>向甲方通告本项目服务范围内有关服务的重大事项，配合处理投诉。</w:t>
      </w:r>
    </w:p>
    <w:p w14:paraId="4484371F">
      <w:pPr>
        <w:widowControl/>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、乙方应按照合同约定的交货时间完成服务器安全软件项目交付，并经甲方验收合格。</w:t>
      </w:r>
    </w:p>
    <w:p w14:paraId="6834FFDB">
      <w:pPr>
        <w:numPr>
          <w:ilvl w:val="0"/>
          <w:numId w:val="3"/>
        </w:numPr>
        <w:tabs>
          <w:tab w:val="left" w:pos="480"/>
        </w:tabs>
        <w:spacing w:line="360" w:lineRule="auto"/>
        <w:ind w:firstLine="335" w:firstLineChars="196"/>
        <w:rPr>
          <w:rFonts w:hint="eastAsia" w:ascii="仿宋" w:hAnsi="仿宋" w:eastAsia="仿宋" w:cs="仿宋"/>
          <w:b/>
          <w:color w:val="auto"/>
          <w:spacing w:val="-20"/>
          <w:kern w:val="0"/>
          <w:sz w:val="21"/>
          <w:szCs w:val="21"/>
          <w:highlight w:val="none"/>
        </w:rPr>
      </w:pPr>
      <w:r>
        <w:rPr>
          <w:rFonts w:hint="eastAsia" w:ascii="仿宋" w:hAnsi="仿宋" w:eastAsia="仿宋" w:cs="仿宋"/>
          <w:b/>
          <w:color w:val="auto"/>
          <w:spacing w:val="-20"/>
          <w:kern w:val="0"/>
          <w:sz w:val="21"/>
          <w:szCs w:val="21"/>
          <w:highlight w:val="none"/>
        </w:rPr>
        <w:t>质量保证</w:t>
      </w:r>
    </w:p>
    <w:p w14:paraId="5DAA3633">
      <w:pPr>
        <w:widowControl/>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1、维保期：验收合格之日起</w:t>
      </w:r>
      <w:r>
        <w:rPr>
          <w:rFonts w:hint="default" w:ascii="仿宋" w:hAnsi="仿宋" w:eastAsia="仿宋" w:cs="仿宋"/>
          <w:color w:val="auto"/>
          <w:sz w:val="21"/>
          <w:szCs w:val="21"/>
          <w:highlight w:val="none"/>
          <w:lang w:val="en-US"/>
        </w:rPr>
        <w:t>3</w:t>
      </w:r>
      <w:r>
        <w:rPr>
          <w:rFonts w:hint="eastAsia" w:ascii="仿宋" w:hAnsi="仿宋" w:eastAsia="仿宋" w:cs="仿宋"/>
          <w:color w:val="auto"/>
          <w:sz w:val="21"/>
          <w:szCs w:val="21"/>
          <w:highlight w:val="none"/>
        </w:rPr>
        <w:t xml:space="preserve">年。 </w:t>
      </w:r>
    </w:p>
    <w:p w14:paraId="1B210A03">
      <w:pPr>
        <w:widowControl/>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维保期内乙方提供各种售后服务，包括但不限于故障排除、漏洞修复、软件大版本升级、在线答疑、现场服务、定期回访、技术培训等售后服务；对于发现的软件自身功能问题，提供永久支持、及时给予圆满解决，相关费用包含在响应报价中，甲方不再另行支付。 </w:t>
      </w:r>
    </w:p>
    <w:p w14:paraId="240A8417">
      <w:pPr>
        <w:widowControl/>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维保期内系统出现故障时，乙方须提供7×24小时服务响应；一般问题1小时内响应，2小时内处理，紧急问题或重大故障1小时内赶到现场，4小时内处理，保证系统正常运行。根据甲方时间安排提供至少两次的本地服务。</w:t>
      </w:r>
    </w:p>
    <w:p w14:paraId="631B2AC0">
      <w:pPr>
        <w:spacing w:line="360" w:lineRule="auto"/>
        <w:ind w:firstLine="342" w:firstLineChars="200"/>
        <w:rPr>
          <w:rFonts w:hint="eastAsia" w:ascii="仿宋" w:hAnsi="仿宋" w:eastAsia="仿宋" w:cs="仿宋"/>
          <w:b/>
          <w:color w:val="auto"/>
          <w:spacing w:val="-20"/>
          <w:kern w:val="0"/>
          <w:sz w:val="21"/>
          <w:szCs w:val="21"/>
          <w:highlight w:val="none"/>
        </w:rPr>
      </w:pPr>
      <w:r>
        <w:rPr>
          <w:rFonts w:hint="eastAsia" w:ascii="仿宋" w:hAnsi="仿宋" w:eastAsia="仿宋" w:cs="仿宋"/>
          <w:b/>
          <w:color w:val="auto"/>
          <w:spacing w:val="-20"/>
          <w:kern w:val="0"/>
          <w:sz w:val="21"/>
          <w:szCs w:val="21"/>
          <w:highlight w:val="none"/>
        </w:rPr>
        <w:t>七、质量验收标准或规范</w:t>
      </w:r>
    </w:p>
    <w:p w14:paraId="29DA5E4F">
      <w:pPr>
        <w:widowControl/>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（一）乙方</w:t>
      </w:r>
      <w:r>
        <w:rPr>
          <w:rFonts w:hint="eastAsia" w:ascii="仿宋" w:hAnsi="仿宋" w:eastAsia="仿宋" w:cs="仿宋"/>
          <w:color w:val="auto"/>
          <w:kern w:val="0"/>
          <w:sz w:val="21"/>
          <w:szCs w:val="21"/>
          <w:highlight w:val="none"/>
        </w:rPr>
        <w:t>部署安装完成并自检合格后邀请甲方进行验收。甲方确认乙方的自检内容后，组织乙方（必要时请有关专家，由此产生的专家费由乙方承担）进行验收，验收合格后，项目验收单作为对服务的最终认可。</w:t>
      </w:r>
    </w:p>
    <w:p w14:paraId="569958DF">
      <w:pPr>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（二）验收依据：</w:t>
      </w:r>
    </w:p>
    <w:p w14:paraId="59E4EA46">
      <w:pPr>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1、本合同及附件文本；</w:t>
      </w:r>
    </w:p>
    <w:p w14:paraId="6C9CA30D">
      <w:pPr>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2、合同签订时国家及行业现行的标准和技术规范。</w:t>
      </w:r>
    </w:p>
    <w:p w14:paraId="4239C2EC">
      <w:pPr>
        <w:pStyle w:val="2"/>
        <w:spacing w:line="360" w:lineRule="auto"/>
        <w:ind w:firstLine="411" w:firstLineChars="196"/>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2.1.乙方须保证所提供的产品质量可靠，进货渠道正常，配置合理，技术性能完全满足文件要求； </w:t>
      </w:r>
    </w:p>
    <w:p w14:paraId="5F0B5A78">
      <w:pPr>
        <w:pStyle w:val="2"/>
        <w:spacing w:line="360" w:lineRule="auto"/>
        <w:ind w:firstLine="411" w:firstLineChars="196"/>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2.2.若产品有质量问题，由乙方负责解决并承担费用，且不得延期。（产品质量应符合国标标准和本合同附件的要求）</w:t>
      </w:r>
    </w:p>
    <w:p w14:paraId="2AED5E82">
      <w:pPr>
        <w:pStyle w:val="2"/>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kern w:val="2"/>
          <w:sz w:val="21"/>
          <w:szCs w:val="21"/>
          <w:highlight w:val="none"/>
        </w:rPr>
        <w:t>2.3.按《中华人民共和国民法典》中的相关条款执行。</w:t>
      </w:r>
    </w:p>
    <w:p w14:paraId="06B49D8E">
      <w:pPr>
        <w:pStyle w:val="2"/>
        <w:spacing w:line="360" w:lineRule="auto"/>
        <w:ind w:firstLine="411" w:firstLineChars="196"/>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3、验收时间。</w:t>
      </w:r>
    </w:p>
    <w:p w14:paraId="628D1974">
      <w:pPr>
        <w:pStyle w:val="2"/>
        <w:spacing w:line="360" w:lineRule="auto"/>
        <w:ind w:firstLine="411" w:firstLineChars="196"/>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3.1在本项目实施部署完成后，乙方提供验收书面申请，甲方在接到通知后的七个工作日内需要组织验收并办理相关手续。</w:t>
      </w:r>
    </w:p>
    <w:p w14:paraId="5D8AAF16">
      <w:pPr>
        <w:pStyle w:val="2"/>
        <w:spacing w:line="360" w:lineRule="auto"/>
        <w:ind w:firstLine="411" w:firstLineChars="196"/>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3.2重新验收的约定：双方约定在首次验收未通过后，乙方有义务在规定的时间内完成整改，并重新申请验收。甲方有权再次组织验收，若经两次验收仍不合格，甲方有权单方面解除合同且不视为违约，合同自书面解除通知送达乙方之日起解除。</w:t>
      </w:r>
    </w:p>
    <w:p w14:paraId="55579479">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3.3甲方出具加盖甲方公章的验收合格证书视为验收合格</w:t>
      </w:r>
    </w:p>
    <w:p w14:paraId="67DC9FAC">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（三）乙方向甲方提交服务实施过程中的所有资料。以便甲方日后管理和维护。</w:t>
      </w:r>
    </w:p>
    <w:p w14:paraId="2A2E496A">
      <w:pPr>
        <w:tabs>
          <w:tab w:val="left" w:pos="480"/>
        </w:tabs>
        <w:spacing w:line="360" w:lineRule="auto"/>
        <w:ind w:firstLine="335" w:firstLineChars="196"/>
        <w:rPr>
          <w:rFonts w:hint="eastAsia" w:ascii="仿宋" w:hAnsi="仿宋" w:eastAsia="仿宋" w:cs="仿宋"/>
          <w:b/>
          <w:color w:val="auto"/>
          <w:spacing w:val="-20"/>
          <w:kern w:val="0"/>
          <w:sz w:val="21"/>
          <w:szCs w:val="21"/>
          <w:highlight w:val="none"/>
        </w:rPr>
      </w:pPr>
      <w:r>
        <w:rPr>
          <w:rFonts w:hint="eastAsia" w:ascii="仿宋" w:hAnsi="仿宋" w:eastAsia="仿宋" w:cs="仿宋"/>
          <w:b/>
          <w:color w:val="auto"/>
          <w:spacing w:val="-20"/>
          <w:kern w:val="0"/>
          <w:sz w:val="21"/>
          <w:szCs w:val="21"/>
          <w:highlight w:val="none"/>
        </w:rPr>
        <w:t>八、违约责任</w:t>
      </w:r>
    </w:p>
    <w:p w14:paraId="4D9594C2">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（一）按《中华人民共和国民法典》中的相关条款执行。</w:t>
      </w:r>
    </w:p>
    <w:p w14:paraId="758EC258">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未按合同要求提供服务或服务质量不能满足合同要求，甲方有权依据《中华人民共和国民法典》有关条款及合同约定解除合同，合同自甲方书面解除通知到达乙方时解除，此外，乙方还应退还甲方已支付的全部合同价款，并承担合同总价款</w:t>
      </w:r>
      <w:r>
        <w:rPr>
          <w:rFonts w:hint="eastAsia" w:ascii="仿宋" w:hAnsi="仿宋" w:eastAsia="仿宋" w:cs="仿宋"/>
          <w:color w:val="auto"/>
          <w:sz w:val="21"/>
          <w:szCs w:val="21"/>
          <w:highlight w:val="none"/>
          <w:lang w:val="en-US" w:eastAsia="zh-CN"/>
        </w:rPr>
        <w:t>xx</w:t>
      </w:r>
      <w:r>
        <w:rPr>
          <w:rFonts w:hint="eastAsia" w:ascii="仿宋" w:hAnsi="仿宋" w:eastAsia="仿宋" w:cs="仿宋"/>
          <w:color w:val="auto"/>
          <w:sz w:val="21"/>
          <w:szCs w:val="21"/>
          <w:highlight w:val="none"/>
        </w:rPr>
        <w:t>%的违约金。</w:t>
      </w:r>
    </w:p>
    <w:p w14:paraId="6EFD0FDE">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（三）在本合同履行过程中，双方因违约或造成对方经济、社会效益等损失的应当赔偿。</w:t>
      </w:r>
    </w:p>
    <w:p w14:paraId="131AEB38">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（四）甲方无正当理由拒绝接受服务，到期拒付服务费的，甲方向乙方偿付本合同总价款</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xx</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%的违约金。甲方逾期付款的，则每日按逾期金额的</w:t>
      </w:r>
      <w:r>
        <w:rPr>
          <w:rFonts w:hint="eastAsia" w:ascii="仿宋" w:hAnsi="仿宋" w:eastAsia="仿宋" w:cs="仿宋"/>
          <w:color w:val="auto"/>
          <w:sz w:val="21"/>
          <w:szCs w:val="21"/>
          <w:highlight w:val="none"/>
          <w:u w:val="single"/>
          <w:lang w:val="en-US" w:eastAsia="zh-CN"/>
        </w:rPr>
        <w:t>xx</w:t>
      </w:r>
      <w:r>
        <w:rPr>
          <w:rFonts w:hint="eastAsia" w:ascii="仿宋" w:hAnsi="仿宋" w:eastAsia="仿宋" w:cs="仿宋"/>
          <w:color w:val="auto"/>
          <w:sz w:val="21"/>
          <w:szCs w:val="21"/>
          <w:highlight w:val="none"/>
        </w:rPr>
        <w:t>向乙方偿付违约金。</w:t>
      </w:r>
    </w:p>
    <w:p w14:paraId="17147E31">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（五）乙方提供的服务不符合本项目相关文件和本合同规定的，甲方有权拒绝接受服务且拒绝付款，并不承担逾期付款的违约责任，并且乙方须向甲方支付本合同总价款</w:t>
      </w:r>
      <w:r>
        <w:rPr>
          <w:rFonts w:hint="eastAsia" w:ascii="仿宋" w:hAnsi="仿宋" w:eastAsia="仿宋" w:cs="仿宋"/>
          <w:color w:val="auto"/>
          <w:sz w:val="21"/>
          <w:szCs w:val="21"/>
          <w:highlight w:val="none"/>
          <w:lang w:val="en-US" w:eastAsia="zh-CN"/>
        </w:rPr>
        <w:t>xx</w:t>
      </w:r>
      <w:r>
        <w:rPr>
          <w:rFonts w:hint="eastAsia" w:ascii="仿宋" w:hAnsi="仿宋" w:eastAsia="仿宋" w:cs="仿宋"/>
          <w:color w:val="auto"/>
          <w:sz w:val="21"/>
          <w:szCs w:val="21"/>
          <w:highlight w:val="none"/>
        </w:rPr>
        <w:t>%的违约金。</w:t>
      </w:r>
    </w:p>
    <w:p w14:paraId="7028FFA4">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（六）乙方未能按照本合同约定时间提供服务或完成约定的项目服务内容的，从逾期之日起每日按本合同总价款</w:t>
      </w:r>
      <w:r>
        <w:rPr>
          <w:rFonts w:hint="eastAsia" w:ascii="仿宋" w:hAnsi="仿宋" w:eastAsia="仿宋" w:cs="仿宋"/>
          <w:color w:val="auto"/>
          <w:sz w:val="21"/>
          <w:szCs w:val="21"/>
          <w:highlight w:val="none"/>
          <w:u w:val="single"/>
          <w:lang w:val="en-US" w:eastAsia="zh-CN"/>
        </w:rPr>
        <w:t>xx</w:t>
      </w:r>
      <w:r>
        <w:rPr>
          <w:rFonts w:hint="eastAsia" w:ascii="仿宋" w:hAnsi="仿宋" w:eastAsia="仿宋" w:cs="仿宋"/>
          <w:color w:val="auto"/>
          <w:sz w:val="21"/>
          <w:szCs w:val="21"/>
          <w:highlight w:val="none"/>
        </w:rPr>
        <w:t>的数额向甲方支付违约金；逾期</w:t>
      </w:r>
      <w:r>
        <w:rPr>
          <w:rFonts w:hint="eastAsia" w:ascii="仿宋" w:hAnsi="仿宋" w:eastAsia="仿宋" w:cs="仿宋"/>
          <w:color w:val="auto"/>
          <w:sz w:val="21"/>
          <w:szCs w:val="21"/>
          <w:highlight w:val="none"/>
          <w:u w:val="single"/>
          <w:lang w:val="en-US" w:eastAsia="zh-CN"/>
        </w:rPr>
        <w:t>xx</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日以上的，甲方有权单方解除本合同，合同自甲方书面解除通知到达乙方时解除，此外，乙方还应退还甲方已支付的全部合同价款，并承担合同总价款</w:t>
      </w:r>
      <w:r>
        <w:rPr>
          <w:rFonts w:hint="eastAsia" w:ascii="仿宋" w:hAnsi="仿宋" w:eastAsia="仿宋" w:cs="仿宋"/>
          <w:color w:val="auto"/>
          <w:sz w:val="21"/>
          <w:szCs w:val="21"/>
          <w:highlight w:val="none"/>
          <w:lang w:val="en-US" w:eastAsia="zh-CN"/>
        </w:rPr>
        <w:t>xx</w:t>
      </w:r>
      <w:r>
        <w:rPr>
          <w:rFonts w:hint="eastAsia" w:ascii="仿宋" w:hAnsi="仿宋" w:eastAsia="仿宋" w:cs="仿宋"/>
          <w:color w:val="auto"/>
          <w:sz w:val="21"/>
          <w:szCs w:val="21"/>
          <w:highlight w:val="none"/>
        </w:rPr>
        <w:t>%的违约金，若违约金不足以弥补甲方损失的，乙方还应就甲方的损失另行全部赔偿。</w:t>
      </w:r>
    </w:p>
    <w:p w14:paraId="245863AC">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（七）未经甲方同意，乙方不得擅自将本合同服务转包或分包第三方承担。</w:t>
      </w:r>
    </w:p>
    <w:p w14:paraId="353616FA">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（八）合同签订后，若实施方提供产品（服务）与投标响应文件不符，招标方有权终止合同并要求实施方返还全部已支付款项。</w:t>
      </w:r>
    </w:p>
    <w:p w14:paraId="2D8FEA02">
      <w:pPr>
        <w:tabs>
          <w:tab w:val="left" w:pos="480"/>
        </w:tabs>
        <w:spacing w:line="360" w:lineRule="auto"/>
        <w:ind w:firstLine="342" w:firstLineChars="200"/>
        <w:rPr>
          <w:rFonts w:hint="eastAsia" w:ascii="仿宋" w:hAnsi="仿宋" w:eastAsia="仿宋" w:cs="仿宋"/>
          <w:b/>
          <w:color w:val="auto"/>
          <w:spacing w:val="-20"/>
          <w:kern w:val="0"/>
          <w:sz w:val="21"/>
          <w:szCs w:val="21"/>
          <w:highlight w:val="none"/>
        </w:rPr>
      </w:pPr>
      <w:r>
        <w:rPr>
          <w:rFonts w:hint="eastAsia" w:ascii="仿宋" w:hAnsi="仿宋" w:eastAsia="仿宋" w:cs="仿宋"/>
          <w:b/>
          <w:color w:val="auto"/>
          <w:spacing w:val="-20"/>
          <w:kern w:val="0"/>
          <w:sz w:val="21"/>
          <w:szCs w:val="21"/>
          <w:highlight w:val="none"/>
        </w:rPr>
        <w:t>九、保密条款</w:t>
      </w:r>
    </w:p>
    <w:p w14:paraId="446E90A0">
      <w:pPr>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一）乙方及其工作人员应遵守国家保密法律法规及规章制度，履行保密义务。工作人员自觉遵守保密审查，不违规记录、存储、复制工作秘密信息，不以任何方式泄露所接和知悉的工作秘密。未经对方书面许可，任何一方不得向第三方提供或者披露因本合同的签订和履行而得知的与对方业务有关的资料和信息，法律另有规定或本合同另有约定的除外。乙方向其关联公司提供或披露与甲方业务有关的资料和信息的，不受此限。</w:t>
      </w:r>
    </w:p>
    <w:p w14:paraId="30AA866C">
      <w:pPr>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（二）本合同一方(“资料披露方”)对其向本合同另一方(“资料接受方”)按照本合同规定所提供的各类技术和商业资料、规格说明、图纸、文件及专有技术等 (以下简称“保密资料”)享有合法、完整的所有权。</w:t>
      </w:r>
    </w:p>
    <w:p w14:paraId="3E89B091">
      <w:pPr>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三）除本合同授权实施的行为外，资料接受方应将保密资料作为商业秘密予以保护，且不得将该保密资料任何部分或全部进行复制或向第三方（乙方关联公司除外）披露。资料接受方可仅为本合同的目的向其确有知悉必要的雇员披露对方提供的保密资料，但同时须指示其雇员遵守本条规定的保密及不披露义务。资料接受方应对根据本合同接受的保密资料妥善保管，向其提供不低于向接受方自有商业秘密提供的保护之保护。</w:t>
      </w:r>
    </w:p>
    <w:p w14:paraId="1BE95C23">
      <w:pPr>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（四）当出现下述情况时，本条对保密资料的限制不适用。当保密资料：</w:t>
      </w:r>
    </w:p>
    <w:p w14:paraId="5A5E629F">
      <w:pPr>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（1）并非因资料接受方的过错而已经进入公有领域的；</w:t>
      </w:r>
    </w:p>
    <w:p w14:paraId="048CDD5E">
      <w:pPr>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（2）已通过该方的有关记录证明是由资料接受方独立开发的；</w:t>
      </w:r>
    </w:p>
    <w:p w14:paraId="286925DE">
      <w:pPr>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（3）由资料接受方从没有违反对资料披露方的保密义务的人处取得；</w:t>
      </w:r>
    </w:p>
    <w:p w14:paraId="185F5B18">
      <w:pPr>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（4）法律要求资料接受方披露的，但资料接受方应在合理的时间提前通知资料披露方，使其得以采取其认为必要的保护措施。</w:t>
      </w:r>
    </w:p>
    <w:p w14:paraId="28B655E5">
      <w:pPr>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（五）本合同保密期限为自本合同生效之日起至本合同终止、解除后[</w:t>
      </w:r>
      <w:r>
        <w:rPr>
          <w:rFonts w:hint="eastAsia" w:ascii="仿宋" w:hAnsi="仿宋" w:eastAsia="仿宋" w:cs="仿宋"/>
          <w:bCs/>
          <w:color w:val="auto"/>
          <w:sz w:val="21"/>
          <w:szCs w:val="21"/>
          <w:highlight w:val="none"/>
          <w:lang w:val="en-US" w:eastAsia="zh-CN"/>
        </w:rPr>
        <w:t>x</w:t>
      </w:r>
      <w:r>
        <w:rPr>
          <w:rFonts w:hint="eastAsia" w:ascii="仿宋" w:hAnsi="仿宋" w:eastAsia="仿宋" w:cs="仿宋"/>
          <w:bCs/>
          <w:color w:val="auto"/>
          <w:sz w:val="21"/>
          <w:szCs w:val="21"/>
          <w:highlight w:val="none"/>
        </w:rPr>
        <w:t>]年。</w:t>
      </w:r>
    </w:p>
    <w:p w14:paraId="0BC1C991">
      <w:pPr>
        <w:tabs>
          <w:tab w:val="left" w:pos="480"/>
        </w:tabs>
        <w:spacing w:line="360" w:lineRule="auto"/>
        <w:ind w:firstLine="342" w:firstLineChars="200"/>
        <w:rPr>
          <w:rFonts w:hint="eastAsia" w:ascii="仿宋" w:hAnsi="仿宋" w:eastAsia="仿宋" w:cs="仿宋"/>
          <w:b/>
          <w:color w:val="auto"/>
          <w:spacing w:val="-20"/>
          <w:kern w:val="0"/>
          <w:sz w:val="21"/>
          <w:szCs w:val="21"/>
          <w:highlight w:val="none"/>
        </w:rPr>
      </w:pPr>
      <w:r>
        <w:rPr>
          <w:rFonts w:hint="eastAsia" w:ascii="仿宋" w:hAnsi="仿宋" w:eastAsia="仿宋" w:cs="仿宋"/>
          <w:b/>
          <w:color w:val="auto"/>
          <w:spacing w:val="-20"/>
          <w:kern w:val="0"/>
          <w:sz w:val="21"/>
          <w:szCs w:val="21"/>
          <w:highlight w:val="none"/>
        </w:rPr>
        <w:t>十、争议解决</w:t>
      </w:r>
    </w:p>
    <w:p w14:paraId="1166186E">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（一）本合同在履行过程中发生的争议，由甲、乙双方当事人协商解决，协商不成的按下列第</w:t>
      </w:r>
      <w:r>
        <w:rPr>
          <w:rFonts w:hint="eastAsia" w:ascii="仿宋" w:hAnsi="仿宋" w:eastAsia="仿宋" w:cs="仿宋"/>
          <w:color w:val="auto"/>
          <w:sz w:val="21"/>
          <w:szCs w:val="21"/>
          <w:highlight w:val="none"/>
          <w:u w:val="single"/>
        </w:rPr>
        <w:t xml:space="preserve">  2  </w:t>
      </w:r>
      <w:r>
        <w:rPr>
          <w:rFonts w:hint="eastAsia" w:ascii="仿宋" w:hAnsi="仿宋" w:eastAsia="仿宋" w:cs="仿宋"/>
          <w:color w:val="auto"/>
          <w:sz w:val="21"/>
          <w:szCs w:val="21"/>
          <w:highlight w:val="none"/>
        </w:rPr>
        <w:t>种方式解决：</w:t>
      </w:r>
    </w:p>
    <w:p w14:paraId="549147BE">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1、提交西安仲裁委员会仲裁；</w:t>
      </w:r>
    </w:p>
    <w:p w14:paraId="108BD20C">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2、依法向甲方所在地人民法院起诉。</w:t>
      </w:r>
    </w:p>
    <w:p w14:paraId="54FD7EB7">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（二）本条款为独立条款，本合同的无效、变更、解除和终止均不影响本条款的效力。</w:t>
      </w:r>
    </w:p>
    <w:p w14:paraId="4B4EE38C">
      <w:pPr>
        <w:spacing w:line="360" w:lineRule="auto"/>
        <w:ind w:firstLine="342" w:firstLineChars="200"/>
        <w:rPr>
          <w:rFonts w:hint="eastAsia" w:ascii="仿宋" w:hAnsi="仿宋" w:eastAsia="仿宋" w:cs="仿宋"/>
          <w:color w:val="auto"/>
          <w:sz w:val="21"/>
          <w:szCs w:val="21"/>
          <w:highlight w:val="none"/>
        </w:rPr>
      </w:pPr>
      <w:r>
        <w:rPr>
          <w:rFonts w:hint="eastAsia" w:ascii="仿宋" w:hAnsi="仿宋" w:eastAsia="仿宋" w:cs="仿宋"/>
          <w:b/>
          <w:color w:val="auto"/>
          <w:spacing w:val="-20"/>
          <w:kern w:val="0"/>
          <w:sz w:val="21"/>
          <w:szCs w:val="21"/>
          <w:highlight w:val="none"/>
        </w:rPr>
        <w:t>十一、不可抗力及免责</w:t>
      </w:r>
    </w:p>
    <w:p w14:paraId="1568606A">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如由于战争、骚乱、恐怖主义、自然灾害、国家法律法规或规章变动、网络安全、网络无法覆盖、停电、通信线路被人为破坏，导致甲乙双方或一方不能履行或不能完全履行本合同项下有关义务时，受影响方不承担违约责任，但应于该等情形发生后[十五]日内将情况告知对方，并提供有关部门的证明。在影响消除后的合理时间内，一方或双方应当继续履行合同。如因此导致合同不能或者没有必要继续履行的，本合同可协商解除。</w:t>
      </w:r>
    </w:p>
    <w:p w14:paraId="31FDC87A">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2、如政府管理部门提出要求的，乙方将暂停或终止提供相应服务，且不承担任何责任，未提供服务部分费用应予以退回。</w:t>
      </w:r>
    </w:p>
    <w:p w14:paraId="039C1C80">
      <w:pPr>
        <w:tabs>
          <w:tab w:val="left" w:pos="480"/>
        </w:tabs>
        <w:spacing w:line="360" w:lineRule="auto"/>
        <w:ind w:firstLine="335" w:firstLineChars="196"/>
        <w:rPr>
          <w:rFonts w:hint="eastAsia" w:ascii="仿宋" w:hAnsi="仿宋" w:eastAsia="仿宋" w:cs="仿宋"/>
          <w:b/>
          <w:color w:val="auto"/>
          <w:spacing w:val="-20"/>
          <w:kern w:val="0"/>
          <w:sz w:val="21"/>
          <w:szCs w:val="21"/>
          <w:highlight w:val="none"/>
        </w:rPr>
      </w:pPr>
      <w:r>
        <w:rPr>
          <w:rFonts w:hint="eastAsia" w:ascii="仿宋" w:hAnsi="仿宋" w:eastAsia="仿宋" w:cs="仿宋"/>
          <w:b/>
          <w:color w:val="auto"/>
          <w:spacing w:val="-20"/>
          <w:kern w:val="0"/>
          <w:sz w:val="21"/>
          <w:szCs w:val="21"/>
          <w:highlight w:val="none"/>
        </w:rPr>
        <w:t>十二、合同生效</w:t>
      </w:r>
    </w:p>
    <w:p w14:paraId="1409C11B">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1、本合同一式</w:t>
      </w:r>
      <w:r>
        <w:rPr>
          <w:rFonts w:hint="eastAsia" w:ascii="仿宋" w:hAnsi="仿宋" w:eastAsia="仿宋" w:cs="仿宋"/>
          <w:color w:val="auto"/>
          <w:sz w:val="21"/>
          <w:szCs w:val="21"/>
          <w:highlight w:val="none"/>
          <w:u w:val="single"/>
        </w:rPr>
        <w:t>柒</w:t>
      </w:r>
      <w:r>
        <w:rPr>
          <w:rFonts w:hint="eastAsia" w:ascii="仿宋" w:hAnsi="仿宋" w:eastAsia="仿宋" w:cs="仿宋"/>
          <w:color w:val="auto"/>
          <w:sz w:val="21"/>
          <w:szCs w:val="21"/>
          <w:highlight w:val="none"/>
        </w:rPr>
        <w:t>份，甲方持</w:t>
      </w:r>
      <w:r>
        <w:rPr>
          <w:rFonts w:hint="eastAsia" w:ascii="仿宋" w:hAnsi="仿宋" w:eastAsia="仿宋" w:cs="仿宋"/>
          <w:color w:val="auto"/>
          <w:sz w:val="21"/>
          <w:szCs w:val="21"/>
          <w:highlight w:val="none"/>
          <w:u w:val="single"/>
        </w:rPr>
        <w:t>肆</w:t>
      </w:r>
      <w:r>
        <w:rPr>
          <w:rFonts w:hint="eastAsia" w:ascii="仿宋" w:hAnsi="仿宋" w:eastAsia="仿宋" w:cs="仿宋"/>
          <w:color w:val="auto"/>
          <w:sz w:val="21"/>
          <w:szCs w:val="21"/>
          <w:highlight w:val="none"/>
        </w:rPr>
        <w:t>份，乙方持</w:t>
      </w:r>
      <w:r>
        <w:rPr>
          <w:rFonts w:hint="eastAsia" w:ascii="仿宋" w:hAnsi="仿宋" w:eastAsia="仿宋" w:cs="仿宋"/>
          <w:color w:val="auto"/>
          <w:sz w:val="21"/>
          <w:szCs w:val="21"/>
          <w:highlight w:val="none"/>
          <w:u w:val="single"/>
        </w:rPr>
        <w:t>贰</w:t>
      </w:r>
      <w:r>
        <w:rPr>
          <w:rFonts w:hint="eastAsia" w:ascii="仿宋" w:hAnsi="仿宋" w:eastAsia="仿宋" w:cs="仿宋"/>
          <w:color w:val="auto"/>
          <w:sz w:val="21"/>
          <w:szCs w:val="21"/>
          <w:highlight w:val="none"/>
        </w:rPr>
        <w:t>份，鉴证方一份，本合同甲、乙双方及鉴证方签字盖章后生效。</w:t>
      </w:r>
    </w:p>
    <w:p w14:paraId="19CD5267">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2、如果本合同的任何条款在任何时候变成不合法、无效或不可强制执行而不从根本上影响本合同的效力时，本合同的其他条款不受影响。</w:t>
      </w:r>
    </w:p>
    <w:p w14:paraId="33A4BCFF">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3、除本合同另有约定外，未经甲乙双方书面确认，任何一方不得自行变更或修改本合同。</w:t>
      </w:r>
    </w:p>
    <w:p w14:paraId="68121FF5">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未得到对方的书面许可，一方均不得以广告或在公共场合使用或摹仿对方的商业名称、商标、图案、服务标志、符号、代码、型号或缩写，任何一方均不得声称对对方的商业名称、商标、图案、服务标志、符号、代码、型号或缩写拥有所有权。</w:t>
      </w:r>
    </w:p>
    <w:p w14:paraId="7BF7D6B6">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5、双方同意，附件为本合同不可分割的部分。若附件与合同正文有任何冲突，以合同正文为准。</w:t>
      </w:r>
    </w:p>
    <w:p w14:paraId="08259474">
      <w:pPr>
        <w:tabs>
          <w:tab w:val="left" w:pos="480"/>
        </w:tabs>
        <w:spacing w:line="360" w:lineRule="auto"/>
        <w:ind w:firstLine="335" w:firstLineChars="196"/>
        <w:rPr>
          <w:rFonts w:hint="eastAsia" w:ascii="仿宋" w:hAnsi="仿宋" w:eastAsia="仿宋" w:cs="仿宋"/>
          <w:b/>
          <w:color w:val="auto"/>
          <w:spacing w:val="-20"/>
          <w:kern w:val="0"/>
          <w:sz w:val="21"/>
          <w:szCs w:val="21"/>
          <w:highlight w:val="none"/>
        </w:rPr>
      </w:pPr>
      <w:r>
        <w:rPr>
          <w:rFonts w:hint="eastAsia" w:ascii="仿宋" w:hAnsi="仿宋" w:eastAsia="仿宋" w:cs="仿宋"/>
          <w:b/>
          <w:color w:val="auto"/>
          <w:spacing w:val="-20"/>
          <w:kern w:val="0"/>
          <w:sz w:val="21"/>
          <w:szCs w:val="21"/>
          <w:highlight w:val="none"/>
        </w:rPr>
        <w:t>十三、其他事项</w:t>
      </w:r>
    </w:p>
    <w:p w14:paraId="1C15B770">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（一）合同附件均成为合同不可分割的部分。</w:t>
      </w:r>
    </w:p>
    <w:p w14:paraId="3B235737">
      <w:pPr>
        <w:spacing w:line="360" w:lineRule="auto"/>
        <w:ind w:firstLine="420" w:firstLineChars="200"/>
        <w:rPr>
          <w:rFonts w:hint="eastAsia" w:ascii="仿宋" w:hAnsi="仿宋" w:eastAsia="仿宋" w:cs="仿宋"/>
          <w:color w:val="auto"/>
          <w:spacing w:val="-20"/>
          <w:kern w:val="0"/>
          <w:sz w:val="21"/>
          <w:szCs w:val="21"/>
          <w:highlight w:val="none"/>
        </w:rPr>
      </w:pPr>
      <w:r>
        <w:rPr>
          <w:rFonts w:hint="eastAsia" w:ascii="仿宋" w:hAnsi="仿宋" w:eastAsia="仿宋" w:cs="仿宋"/>
          <w:color w:val="auto"/>
          <w:sz w:val="21"/>
          <w:szCs w:val="21"/>
          <w:highlight w:val="none"/>
        </w:rPr>
        <w:t>（二）合同未尽事宜，由甲、乙双方协商补充合同，与原合同具有同等法律效力。</w:t>
      </w:r>
    </w:p>
    <w:p w14:paraId="5E0E2AB6">
      <w:pPr>
        <w:rPr>
          <w:rFonts w:hint="eastAsia" w:ascii="仿宋" w:hAnsi="仿宋" w:eastAsia="仿宋" w:cs="仿宋"/>
          <w:color w:val="auto"/>
          <w:sz w:val="21"/>
          <w:szCs w:val="21"/>
          <w:highlight w:val="none"/>
        </w:rPr>
      </w:pPr>
      <w:r>
        <w:rPr>
          <w:rFonts w:hint="eastAsia" w:ascii="仿宋" w:hAnsi="仿宋" w:eastAsia="仿宋" w:cs="仿宋"/>
          <w:color w:val="auto"/>
          <w:spacing w:val="-20"/>
          <w:kern w:val="0"/>
          <w:sz w:val="24"/>
          <w:highlight w:val="none"/>
        </w:rPr>
        <w:br w:type="page"/>
      </w:r>
      <w:r>
        <w:rPr>
          <w:rFonts w:hint="eastAsia" w:ascii="仿宋" w:hAnsi="仿宋" w:eastAsia="仿宋" w:cs="仿宋"/>
          <w:color w:val="auto"/>
          <w:spacing w:val="-20"/>
          <w:kern w:val="0"/>
          <w:sz w:val="24"/>
          <w:highlight w:val="none"/>
        </w:rPr>
        <w:t>（</w:t>
      </w:r>
      <w:r>
        <w:rPr>
          <w:rFonts w:hint="eastAsia" w:ascii="仿宋" w:hAnsi="仿宋" w:eastAsia="仿宋" w:cs="仿宋"/>
          <w:color w:val="auto"/>
          <w:spacing w:val="-20"/>
          <w:kern w:val="0"/>
          <w:sz w:val="21"/>
          <w:szCs w:val="21"/>
          <w:highlight w:val="none"/>
        </w:rPr>
        <w:t>合同签署页）</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1"/>
        <w:gridCol w:w="2918"/>
        <w:gridCol w:w="3003"/>
      </w:tblGrid>
      <w:tr w14:paraId="53A17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525" w:type="pct"/>
            <w:tcBorders>
              <w:top w:val="single" w:color="auto" w:sz="4" w:space="0"/>
              <w:left w:val="single" w:color="auto" w:sz="4" w:space="0"/>
              <w:bottom w:val="single" w:color="auto" w:sz="4" w:space="0"/>
              <w:right w:val="single" w:color="auto" w:sz="4" w:space="0"/>
            </w:tcBorders>
            <w:noWrap/>
          </w:tcPr>
          <w:p w14:paraId="2008CCF7">
            <w:pPr>
              <w:autoSpaceDE w:val="0"/>
              <w:autoSpaceDN w:val="0"/>
              <w:adjustRightInd w:val="0"/>
              <w:spacing w:line="276" w:lineRule="auto"/>
              <w:jc w:val="center"/>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甲  方</w:t>
            </w:r>
          </w:p>
        </w:tc>
        <w:tc>
          <w:tcPr>
            <w:tcW w:w="1712" w:type="pct"/>
            <w:tcBorders>
              <w:top w:val="single" w:color="auto" w:sz="4" w:space="0"/>
              <w:left w:val="single" w:color="auto" w:sz="4" w:space="0"/>
              <w:bottom w:val="single" w:color="auto" w:sz="4" w:space="0"/>
              <w:right w:val="single" w:color="auto" w:sz="4" w:space="0"/>
            </w:tcBorders>
            <w:noWrap/>
          </w:tcPr>
          <w:p w14:paraId="61D6F60F">
            <w:pPr>
              <w:autoSpaceDE w:val="0"/>
              <w:autoSpaceDN w:val="0"/>
              <w:adjustRightInd w:val="0"/>
              <w:spacing w:line="276" w:lineRule="auto"/>
              <w:jc w:val="center"/>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乙  方</w:t>
            </w:r>
          </w:p>
        </w:tc>
        <w:tc>
          <w:tcPr>
            <w:tcW w:w="1761" w:type="pct"/>
            <w:tcBorders>
              <w:top w:val="single" w:color="auto" w:sz="4" w:space="0"/>
              <w:left w:val="single" w:color="auto" w:sz="4" w:space="0"/>
              <w:bottom w:val="single" w:color="auto" w:sz="4" w:space="0"/>
              <w:right w:val="single" w:color="auto" w:sz="4" w:space="0"/>
            </w:tcBorders>
            <w:noWrap/>
          </w:tcPr>
          <w:p w14:paraId="0AE888F6">
            <w:pPr>
              <w:autoSpaceDE w:val="0"/>
              <w:autoSpaceDN w:val="0"/>
              <w:adjustRightInd w:val="0"/>
              <w:spacing w:line="276" w:lineRule="auto"/>
              <w:jc w:val="center"/>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鉴证方</w:t>
            </w:r>
          </w:p>
        </w:tc>
      </w:tr>
      <w:tr w14:paraId="33F85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trPr>
        <w:tc>
          <w:tcPr>
            <w:tcW w:w="1525" w:type="pct"/>
            <w:tcBorders>
              <w:top w:val="single" w:color="auto" w:sz="4" w:space="0"/>
              <w:left w:val="single" w:color="auto" w:sz="4" w:space="0"/>
              <w:bottom w:val="single" w:color="auto" w:sz="4" w:space="0"/>
              <w:right w:val="single" w:color="auto" w:sz="4" w:space="0"/>
            </w:tcBorders>
            <w:noWrap/>
            <w:vAlign w:val="center"/>
          </w:tcPr>
          <w:p w14:paraId="1D90934C">
            <w:pPr>
              <w:autoSpaceDE w:val="0"/>
              <w:autoSpaceDN w:val="0"/>
              <w:adjustRightInd w:val="0"/>
              <w:spacing w:line="276"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西安市儿童医院</w:t>
            </w:r>
          </w:p>
          <w:p w14:paraId="09801DD1">
            <w:pPr>
              <w:autoSpaceDE w:val="0"/>
              <w:autoSpaceDN w:val="0"/>
              <w:adjustRightInd w:val="0"/>
              <w:spacing w:line="276" w:lineRule="auto"/>
              <w:ind w:firstLine="595" w:firstLineChars="350"/>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（盖章）</w:t>
            </w:r>
          </w:p>
        </w:tc>
        <w:tc>
          <w:tcPr>
            <w:tcW w:w="1712" w:type="pct"/>
            <w:tcBorders>
              <w:top w:val="single" w:color="auto" w:sz="4" w:space="0"/>
              <w:left w:val="single" w:color="auto" w:sz="4" w:space="0"/>
              <w:bottom w:val="single" w:color="auto" w:sz="4" w:space="0"/>
              <w:right w:val="single" w:color="auto" w:sz="4" w:space="0"/>
            </w:tcBorders>
            <w:noWrap/>
            <w:vAlign w:val="center"/>
          </w:tcPr>
          <w:p w14:paraId="67E3F6D8">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（盖章）</w:t>
            </w:r>
          </w:p>
        </w:tc>
        <w:tc>
          <w:tcPr>
            <w:tcW w:w="1761" w:type="pct"/>
            <w:tcBorders>
              <w:top w:val="single" w:color="auto" w:sz="4" w:space="0"/>
              <w:left w:val="single" w:color="auto" w:sz="4" w:space="0"/>
              <w:bottom w:val="single" w:color="auto" w:sz="4" w:space="0"/>
              <w:right w:val="single" w:color="auto" w:sz="4" w:space="0"/>
            </w:tcBorders>
            <w:noWrap/>
            <w:vAlign w:val="center"/>
          </w:tcPr>
          <w:p w14:paraId="4EBCB275">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（盖章）</w:t>
            </w:r>
          </w:p>
        </w:tc>
      </w:tr>
      <w:tr w14:paraId="7A93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1525" w:type="pct"/>
            <w:tcBorders>
              <w:top w:val="single" w:color="auto" w:sz="4" w:space="0"/>
              <w:left w:val="single" w:color="auto" w:sz="4" w:space="0"/>
              <w:bottom w:val="single" w:color="auto" w:sz="4" w:space="0"/>
              <w:right w:val="single" w:color="auto" w:sz="4" w:space="0"/>
            </w:tcBorders>
            <w:noWrap/>
          </w:tcPr>
          <w:p w14:paraId="2A91C703">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地址： 西安市莲湖区西举院巷69号</w:t>
            </w:r>
          </w:p>
        </w:tc>
        <w:tc>
          <w:tcPr>
            <w:tcW w:w="1712" w:type="pct"/>
            <w:tcBorders>
              <w:top w:val="single" w:color="auto" w:sz="4" w:space="0"/>
              <w:left w:val="single" w:color="auto" w:sz="4" w:space="0"/>
              <w:bottom w:val="single" w:color="auto" w:sz="4" w:space="0"/>
              <w:right w:val="single" w:color="auto" w:sz="4" w:space="0"/>
            </w:tcBorders>
            <w:noWrap/>
          </w:tcPr>
          <w:p w14:paraId="4368F5B4">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地址：</w:t>
            </w:r>
          </w:p>
        </w:tc>
        <w:tc>
          <w:tcPr>
            <w:tcW w:w="1761" w:type="pct"/>
            <w:tcBorders>
              <w:top w:val="single" w:color="auto" w:sz="4" w:space="0"/>
              <w:left w:val="single" w:color="auto" w:sz="4" w:space="0"/>
              <w:bottom w:val="single" w:color="auto" w:sz="4" w:space="0"/>
              <w:right w:val="single" w:color="auto" w:sz="4" w:space="0"/>
            </w:tcBorders>
            <w:noWrap/>
          </w:tcPr>
          <w:p w14:paraId="5E27E30C">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地址：</w:t>
            </w:r>
          </w:p>
        </w:tc>
      </w:tr>
      <w:tr w14:paraId="28E83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525" w:type="pct"/>
            <w:tcBorders>
              <w:top w:val="single" w:color="auto" w:sz="4" w:space="0"/>
              <w:left w:val="single" w:color="auto" w:sz="4" w:space="0"/>
              <w:bottom w:val="single" w:color="auto" w:sz="4" w:space="0"/>
              <w:right w:val="single" w:color="auto" w:sz="4" w:space="0"/>
            </w:tcBorders>
            <w:noWrap/>
          </w:tcPr>
          <w:p w14:paraId="29CAB8A2">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邮编：710003</w:t>
            </w:r>
          </w:p>
        </w:tc>
        <w:tc>
          <w:tcPr>
            <w:tcW w:w="1712" w:type="pct"/>
            <w:tcBorders>
              <w:top w:val="single" w:color="auto" w:sz="4" w:space="0"/>
              <w:left w:val="single" w:color="auto" w:sz="4" w:space="0"/>
              <w:bottom w:val="single" w:color="auto" w:sz="4" w:space="0"/>
              <w:right w:val="single" w:color="auto" w:sz="4" w:space="0"/>
            </w:tcBorders>
            <w:noWrap/>
          </w:tcPr>
          <w:p w14:paraId="72C635E6">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邮编：</w:t>
            </w:r>
          </w:p>
        </w:tc>
        <w:tc>
          <w:tcPr>
            <w:tcW w:w="1761" w:type="pct"/>
            <w:tcBorders>
              <w:top w:val="single" w:color="auto" w:sz="4" w:space="0"/>
              <w:left w:val="single" w:color="auto" w:sz="4" w:space="0"/>
              <w:bottom w:val="single" w:color="auto" w:sz="4" w:space="0"/>
              <w:right w:val="single" w:color="auto" w:sz="4" w:space="0"/>
            </w:tcBorders>
            <w:noWrap/>
          </w:tcPr>
          <w:p w14:paraId="639D31B2">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邮编：</w:t>
            </w:r>
          </w:p>
        </w:tc>
      </w:tr>
      <w:tr w14:paraId="0FD83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525" w:type="pct"/>
            <w:tcBorders>
              <w:top w:val="single" w:color="auto" w:sz="4" w:space="0"/>
              <w:left w:val="single" w:color="auto" w:sz="4" w:space="0"/>
              <w:bottom w:val="single" w:color="auto" w:sz="4" w:space="0"/>
              <w:right w:val="single" w:color="auto" w:sz="4" w:space="0"/>
            </w:tcBorders>
            <w:noWrap/>
          </w:tcPr>
          <w:p w14:paraId="4FB87D2D">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法定代表人：（签字）</w:t>
            </w:r>
          </w:p>
        </w:tc>
        <w:tc>
          <w:tcPr>
            <w:tcW w:w="1712" w:type="pct"/>
            <w:tcBorders>
              <w:top w:val="single" w:color="auto" w:sz="4" w:space="0"/>
              <w:left w:val="single" w:color="auto" w:sz="4" w:space="0"/>
              <w:bottom w:val="single" w:color="auto" w:sz="4" w:space="0"/>
              <w:right w:val="single" w:color="auto" w:sz="4" w:space="0"/>
            </w:tcBorders>
            <w:noWrap/>
          </w:tcPr>
          <w:p w14:paraId="27483166">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法定代表人：（签字）</w:t>
            </w:r>
          </w:p>
        </w:tc>
        <w:tc>
          <w:tcPr>
            <w:tcW w:w="1761" w:type="pct"/>
            <w:tcBorders>
              <w:top w:val="single" w:color="auto" w:sz="4" w:space="0"/>
              <w:left w:val="single" w:color="auto" w:sz="4" w:space="0"/>
              <w:bottom w:val="single" w:color="auto" w:sz="4" w:space="0"/>
              <w:right w:val="single" w:color="auto" w:sz="4" w:space="0"/>
            </w:tcBorders>
            <w:noWrap/>
          </w:tcPr>
          <w:p w14:paraId="34A8C8F3">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业务处负责人：（签字）</w:t>
            </w:r>
          </w:p>
        </w:tc>
      </w:tr>
      <w:tr w14:paraId="53B32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525" w:type="pct"/>
            <w:tcBorders>
              <w:top w:val="single" w:color="auto" w:sz="4" w:space="0"/>
              <w:left w:val="single" w:color="auto" w:sz="4" w:space="0"/>
              <w:bottom w:val="single" w:color="auto" w:sz="4" w:space="0"/>
              <w:right w:val="single" w:color="auto" w:sz="4" w:space="0"/>
            </w:tcBorders>
            <w:noWrap/>
          </w:tcPr>
          <w:p w14:paraId="4650BAD8">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经办人：（签字）</w:t>
            </w:r>
          </w:p>
        </w:tc>
        <w:tc>
          <w:tcPr>
            <w:tcW w:w="1712" w:type="pct"/>
            <w:tcBorders>
              <w:top w:val="single" w:color="auto" w:sz="4" w:space="0"/>
              <w:left w:val="single" w:color="auto" w:sz="4" w:space="0"/>
              <w:bottom w:val="single" w:color="auto" w:sz="4" w:space="0"/>
              <w:right w:val="single" w:color="auto" w:sz="4" w:space="0"/>
            </w:tcBorders>
            <w:noWrap/>
          </w:tcPr>
          <w:p w14:paraId="74B94FBD">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lang w:val="en-US" w:eastAsia="zh-CN"/>
              </w:rPr>
              <w:t>经办人</w:t>
            </w:r>
            <w:r>
              <w:rPr>
                <w:rFonts w:hint="eastAsia" w:ascii="仿宋" w:hAnsi="仿宋" w:eastAsia="仿宋" w:cs="仿宋"/>
                <w:color w:val="auto"/>
                <w:spacing w:val="-20"/>
                <w:kern w:val="0"/>
                <w:sz w:val="21"/>
                <w:szCs w:val="21"/>
                <w:highlight w:val="none"/>
              </w:rPr>
              <w:t>：（签字）</w:t>
            </w:r>
          </w:p>
        </w:tc>
        <w:tc>
          <w:tcPr>
            <w:tcW w:w="1761" w:type="pct"/>
            <w:tcBorders>
              <w:top w:val="single" w:color="auto" w:sz="4" w:space="0"/>
              <w:left w:val="single" w:color="auto" w:sz="4" w:space="0"/>
              <w:bottom w:val="single" w:color="auto" w:sz="4" w:space="0"/>
              <w:right w:val="single" w:color="auto" w:sz="4" w:space="0"/>
            </w:tcBorders>
            <w:noWrap/>
          </w:tcPr>
          <w:p w14:paraId="7196EFFF">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审核人：（签字）</w:t>
            </w:r>
          </w:p>
        </w:tc>
      </w:tr>
      <w:tr w14:paraId="09F30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pct"/>
            <w:tcBorders>
              <w:top w:val="single" w:color="auto" w:sz="4" w:space="0"/>
              <w:left w:val="single" w:color="auto" w:sz="4" w:space="0"/>
              <w:bottom w:val="single" w:color="auto" w:sz="4" w:space="0"/>
              <w:right w:val="single" w:color="auto" w:sz="4" w:space="0"/>
            </w:tcBorders>
            <w:noWrap/>
          </w:tcPr>
          <w:p w14:paraId="2EF47D97">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电话：</w:t>
            </w:r>
            <w:r>
              <w:rPr>
                <w:rFonts w:hint="eastAsia" w:ascii="仿宋" w:hAnsi="仿宋" w:eastAsia="仿宋" w:cs="仿宋"/>
                <w:color w:val="auto"/>
                <w:sz w:val="21"/>
                <w:szCs w:val="21"/>
                <w:highlight w:val="none"/>
                <w:u w:val="single"/>
              </w:rPr>
              <w:t>029-87692082</w:t>
            </w:r>
          </w:p>
        </w:tc>
        <w:tc>
          <w:tcPr>
            <w:tcW w:w="1712" w:type="pct"/>
            <w:tcBorders>
              <w:top w:val="single" w:color="auto" w:sz="4" w:space="0"/>
              <w:left w:val="single" w:color="auto" w:sz="4" w:space="0"/>
              <w:bottom w:val="single" w:color="auto" w:sz="4" w:space="0"/>
              <w:right w:val="single" w:color="auto" w:sz="4" w:space="0"/>
            </w:tcBorders>
            <w:noWrap/>
          </w:tcPr>
          <w:p w14:paraId="7E78CAE9">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电话：</w:t>
            </w:r>
          </w:p>
        </w:tc>
        <w:tc>
          <w:tcPr>
            <w:tcW w:w="1761" w:type="pct"/>
            <w:tcBorders>
              <w:top w:val="single" w:color="auto" w:sz="4" w:space="0"/>
              <w:left w:val="single" w:color="auto" w:sz="4" w:space="0"/>
              <w:bottom w:val="single" w:color="auto" w:sz="4" w:space="0"/>
              <w:right w:val="single" w:color="auto" w:sz="4" w:space="0"/>
            </w:tcBorders>
            <w:noWrap/>
          </w:tcPr>
          <w:p w14:paraId="0A4814FF">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 xml:space="preserve">电话： </w:t>
            </w:r>
          </w:p>
        </w:tc>
      </w:tr>
      <w:tr w14:paraId="10DF8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pct"/>
            <w:tcBorders>
              <w:top w:val="single" w:color="auto" w:sz="4" w:space="0"/>
              <w:left w:val="single" w:color="auto" w:sz="4" w:space="0"/>
              <w:bottom w:val="single" w:color="auto" w:sz="4" w:space="0"/>
              <w:right w:val="single" w:color="auto" w:sz="4" w:space="0"/>
            </w:tcBorders>
            <w:noWrap/>
          </w:tcPr>
          <w:p w14:paraId="3BF9DA3F">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p>
        </w:tc>
        <w:tc>
          <w:tcPr>
            <w:tcW w:w="1712" w:type="pct"/>
            <w:tcBorders>
              <w:top w:val="single" w:color="auto" w:sz="4" w:space="0"/>
              <w:left w:val="single" w:color="auto" w:sz="4" w:space="0"/>
              <w:bottom w:val="single" w:color="auto" w:sz="4" w:space="0"/>
              <w:right w:val="single" w:color="auto" w:sz="4" w:space="0"/>
            </w:tcBorders>
            <w:noWrap/>
          </w:tcPr>
          <w:p w14:paraId="1E18B0D4">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z w:val="21"/>
                <w:szCs w:val="21"/>
                <w:highlight w:val="none"/>
              </w:rPr>
              <w:t>开户行：</w:t>
            </w:r>
          </w:p>
        </w:tc>
        <w:tc>
          <w:tcPr>
            <w:tcW w:w="1761" w:type="pct"/>
            <w:tcBorders>
              <w:top w:val="single" w:color="auto" w:sz="4" w:space="0"/>
              <w:left w:val="single" w:color="auto" w:sz="4" w:space="0"/>
              <w:bottom w:val="single" w:color="auto" w:sz="4" w:space="0"/>
              <w:right w:val="single" w:color="auto" w:sz="4" w:space="0"/>
            </w:tcBorders>
            <w:noWrap/>
          </w:tcPr>
          <w:p w14:paraId="70C98510">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p>
        </w:tc>
      </w:tr>
      <w:tr w14:paraId="6F00A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pct"/>
            <w:tcBorders>
              <w:top w:val="single" w:color="auto" w:sz="4" w:space="0"/>
              <w:left w:val="single" w:color="auto" w:sz="4" w:space="0"/>
              <w:bottom w:val="single" w:color="auto" w:sz="4" w:space="0"/>
              <w:right w:val="single" w:color="auto" w:sz="4" w:space="0"/>
            </w:tcBorders>
            <w:noWrap/>
          </w:tcPr>
          <w:p w14:paraId="33DC557D">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p>
        </w:tc>
        <w:tc>
          <w:tcPr>
            <w:tcW w:w="1712" w:type="pct"/>
            <w:tcBorders>
              <w:top w:val="single" w:color="auto" w:sz="4" w:space="0"/>
              <w:left w:val="single" w:color="auto" w:sz="4" w:space="0"/>
              <w:bottom w:val="single" w:color="auto" w:sz="4" w:space="0"/>
              <w:right w:val="single" w:color="auto" w:sz="4" w:space="0"/>
            </w:tcBorders>
            <w:noWrap/>
          </w:tcPr>
          <w:p w14:paraId="38E021EF">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账号：</w:t>
            </w:r>
          </w:p>
        </w:tc>
        <w:tc>
          <w:tcPr>
            <w:tcW w:w="1761" w:type="pct"/>
            <w:tcBorders>
              <w:top w:val="single" w:color="auto" w:sz="4" w:space="0"/>
              <w:left w:val="single" w:color="auto" w:sz="4" w:space="0"/>
              <w:bottom w:val="single" w:color="auto" w:sz="4" w:space="0"/>
              <w:right w:val="single" w:color="auto" w:sz="4" w:space="0"/>
            </w:tcBorders>
            <w:noWrap/>
          </w:tcPr>
          <w:p w14:paraId="0404FA0C">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p>
        </w:tc>
      </w:tr>
      <w:tr w14:paraId="7011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pct"/>
            <w:tcBorders>
              <w:top w:val="single" w:color="auto" w:sz="4" w:space="0"/>
              <w:left w:val="single" w:color="auto" w:sz="4" w:space="0"/>
              <w:bottom w:val="single" w:color="auto" w:sz="4" w:space="0"/>
              <w:right w:val="single" w:color="auto" w:sz="4" w:space="0"/>
            </w:tcBorders>
            <w:noWrap/>
          </w:tcPr>
          <w:p w14:paraId="25D6A80E">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日期：   年   月   日</w:t>
            </w:r>
          </w:p>
        </w:tc>
        <w:tc>
          <w:tcPr>
            <w:tcW w:w="1712" w:type="pct"/>
            <w:tcBorders>
              <w:top w:val="single" w:color="auto" w:sz="4" w:space="0"/>
              <w:left w:val="single" w:color="auto" w:sz="4" w:space="0"/>
              <w:bottom w:val="single" w:color="auto" w:sz="4" w:space="0"/>
              <w:right w:val="single" w:color="auto" w:sz="4" w:space="0"/>
            </w:tcBorders>
            <w:noWrap/>
          </w:tcPr>
          <w:p w14:paraId="0A2E786C">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日期：   年   月   日</w:t>
            </w:r>
          </w:p>
        </w:tc>
        <w:tc>
          <w:tcPr>
            <w:tcW w:w="1761" w:type="pct"/>
            <w:tcBorders>
              <w:top w:val="single" w:color="auto" w:sz="4" w:space="0"/>
              <w:left w:val="single" w:color="auto" w:sz="4" w:space="0"/>
              <w:bottom w:val="single" w:color="auto" w:sz="4" w:space="0"/>
              <w:right w:val="single" w:color="auto" w:sz="4" w:space="0"/>
            </w:tcBorders>
            <w:noWrap/>
          </w:tcPr>
          <w:p w14:paraId="0772A773">
            <w:pPr>
              <w:autoSpaceDE w:val="0"/>
              <w:autoSpaceDN w:val="0"/>
              <w:adjustRightInd w:val="0"/>
              <w:spacing w:line="276" w:lineRule="auto"/>
              <w:jc w:val="left"/>
              <w:rPr>
                <w:rFonts w:hint="eastAsia" w:ascii="仿宋" w:hAnsi="仿宋" w:eastAsia="仿宋" w:cs="仿宋"/>
                <w:color w:val="auto"/>
                <w:spacing w:val="-20"/>
                <w:kern w:val="0"/>
                <w:sz w:val="21"/>
                <w:szCs w:val="21"/>
                <w:highlight w:val="none"/>
              </w:rPr>
            </w:pPr>
            <w:r>
              <w:rPr>
                <w:rFonts w:hint="eastAsia" w:ascii="仿宋" w:hAnsi="仿宋" w:eastAsia="仿宋" w:cs="仿宋"/>
                <w:color w:val="auto"/>
                <w:spacing w:val="-20"/>
                <w:kern w:val="0"/>
                <w:sz w:val="21"/>
                <w:szCs w:val="21"/>
                <w:highlight w:val="none"/>
              </w:rPr>
              <w:t>日期：   年   月   日</w:t>
            </w:r>
          </w:p>
        </w:tc>
      </w:tr>
    </w:tbl>
    <w:p w14:paraId="40F73F73">
      <w:pPr>
        <w:pStyle w:val="10"/>
        <w:spacing w:line="276" w:lineRule="auto"/>
        <w:ind w:firstLine="0" w:firstLineChars="0"/>
        <w:outlineLvl w:val="1"/>
        <w:rPr>
          <w:rFonts w:hint="eastAsia" w:ascii="仿宋" w:hAnsi="仿宋" w:eastAsia="仿宋" w:cs="仿宋"/>
          <w:color w:val="auto"/>
          <w:sz w:val="30"/>
          <w:szCs w:val="30"/>
          <w:highlight w:val="none"/>
        </w:rPr>
      </w:pPr>
      <w:r>
        <w:rPr>
          <w:rFonts w:hint="eastAsia" w:ascii="仿宋" w:hAnsi="仿宋" w:eastAsia="仿宋" w:cs="仿宋"/>
          <w:color w:val="auto"/>
          <w:szCs w:val="21"/>
          <w:highlight w:val="none"/>
        </w:rPr>
        <w:br w:type="page"/>
      </w:r>
      <w:r>
        <w:rPr>
          <w:rFonts w:hint="eastAsia" w:ascii="仿宋" w:hAnsi="仿宋" w:eastAsia="仿宋" w:cs="仿宋"/>
          <w:color w:val="auto"/>
          <w:sz w:val="30"/>
          <w:szCs w:val="30"/>
          <w:highlight w:val="none"/>
        </w:rPr>
        <w:t>附件一：</w:t>
      </w:r>
    </w:p>
    <w:p w14:paraId="30F6ED02">
      <w:pPr>
        <w:pStyle w:val="2"/>
        <w:jc w:val="center"/>
        <w:rPr>
          <w:rFonts w:hint="eastAsia" w:ascii="仿宋" w:hAnsi="仿宋" w:eastAsia="仿宋" w:cs="仿宋"/>
          <w:b/>
          <w:bCs/>
          <w:color w:val="auto"/>
          <w:spacing w:val="-20"/>
          <w:sz w:val="28"/>
          <w:szCs w:val="28"/>
          <w:highlight w:val="none"/>
        </w:rPr>
      </w:pPr>
      <w:r>
        <w:rPr>
          <w:rFonts w:hint="eastAsia" w:ascii="仿宋" w:hAnsi="仿宋" w:eastAsia="仿宋" w:cs="仿宋"/>
          <w:b w:val="0"/>
          <w:bCs w:val="0"/>
          <w:color w:val="auto"/>
          <w:spacing w:val="-20"/>
          <w:sz w:val="28"/>
          <w:szCs w:val="28"/>
          <w:highlight w:val="none"/>
        </w:rPr>
        <w:t>产品技术参数</w:t>
      </w:r>
    </w:p>
    <w:tbl>
      <w:tblPr>
        <w:tblStyle w:val="6"/>
        <w:tblW w:w="4861"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48"/>
        <w:gridCol w:w="7537"/>
      </w:tblGrid>
      <w:tr w14:paraId="390069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51" w:type="pct"/>
          </w:tcPr>
          <w:p w14:paraId="4CFB10A8">
            <w:pPr>
              <w:pStyle w:val="11"/>
              <w:rPr>
                <w:rFonts w:hint="eastAsia" w:ascii="仿宋" w:hAnsi="仿宋" w:eastAsia="仿宋" w:cs="仿宋"/>
                <w:color w:val="auto"/>
                <w:highlight w:val="none"/>
              </w:rPr>
            </w:pPr>
            <w:r>
              <w:rPr>
                <w:rFonts w:hint="eastAsia" w:ascii="仿宋" w:hAnsi="仿宋" w:eastAsia="仿宋" w:cs="仿宋"/>
                <w:color w:val="auto"/>
                <w:highlight w:val="none"/>
              </w:rPr>
              <w:t xml:space="preserve"> 序号</w:t>
            </w:r>
          </w:p>
        </w:tc>
        <w:tc>
          <w:tcPr>
            <w:tcW w:w="4548" w:type="pct"/>
          </w:tcPr>
          <w:p w14:paraId="6BDEE72B">
            <w:pPr>
              <w:pStyle w:val="11"/>
              <w:rPr>
                <w:rFonts w:hint="eastAsia" w:ascii="仿宋" w:hAnsi="仿宋" w:eastAsia="仿宋" w:cs="仿宋"/>
                <w:color w:val="auto"/>
                <w:highlight w:val="none"/>
              </w:rPr>
            </w:pPr>
            <w:r>
              <w:rPr>
                <w:rFonts w:hint="eastAsia" w:ascii="仿宋" w:hAnsi="仿宋" w:eastAsia="仿宋" w:cs="仿宋"/>
                <w:color w:val="auto"/>
                <w:highlight w:val="none"/>
              </w:rPr>
              <w:t xml:space="preserve"> 技术参数与性能指标</w:t>
            </w:r>
          </w:p>
        </w:tc>
      </w:tr>
      <w:tr w14:paraId="2C0B4B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1" w:type="pct"/>
          </w:tcPr>
          <w:p w14:paraId="01AC97D0">
            <w:pPr>
              <w:pStyle w:val="11"/>
              <w:rPr>
                <w:rFonts w:hint="eastAsia" w:ascii="仿宋" w:hAnsi="仿宋" w:eastAsia="仿宋" w:cs="仿宋"/>
                <w:color w:val="auto"/>
                <w:highlight w:val="none"/>
              </w:rPr>
            </w:pPr>
            <w:r>
              <w:rPr>
                <w:rFonts w:hint="eastAsia" w:ascii="仿宋" w:hAnsi="仿宋" w:eastAsia="仿宋" w:cs="仿宋"/>
                <w:color w:val="auto"/>
                <w:highlight w:val="none"/>
              </w:rPr>
              <w:t>1</w:t>
            </w:r>
          </w:p>
        </w:tc>
        <w:tc>
          <w:tcPr>
            <w:tcW w:w="4548" w:type="pct"/>
          </w:tcPr>
          <w:tbl>
            <w:tblPr>
              <w:tblStyle w:val="6"/>
              <w:tblW w:w="8138"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38"/>
            </w:tblGrid>
            <w:tr w14:paraId="6C7C8B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3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0C70F4E">
                  <w:pPr>
                    <w:pStyle w:val="11"/>
                    <w:jc w:val="both"/>
                    <w:rPr>
                      <w:rFonts w:hint="eastAsia" w:ascii="仿宋" w:hAnsi="仿宋" w:eastAsia="仿宋" w:cs="仿宋"/>
                      <w:color w:val="auto"/>
                      <w:highlight w:val="none"/>
                    </w:rPr>
                  </w:pPr>
                </w:p>
              </w:tc>
            </w:tr>
          </w:tbl>
          <w:p w14:paraId="1A386FF6">
            <w:pPr>
              <w:rPr>
                <w:rFonts w:hint="eastAsia" w:ascii="仿宋" w:hAnsi="仿宋" w:eastAsia="仿宋" w:cs="仿宋"/>
                <w:color w:val="auto"/>
                <w:highlight w:val="none"/>
              </w:rPr>
            </w:pPr>
          </w:p>
        </w:tc>
      </w:tr>
    </w:tbl>
    <w:p w14:paraId="2EC52C0A">
      <w:pPr>
        <w:spacing w:line="276" w:lineRule="auto"/>
        <w:ind w:firstLineChars="0"/>
        <w:rPr>
          <w:rFonts w:hint="eastAsia" w:ascii="仿宋" w:hAnsi="仿宋" w:eastAsia="仿宋" w:cs="仿宋"/>
          <w:b/>
          <w:color w:val="auto"/>
          <w:szCs w:val="21"/>
          <w:highlight w:val="none"/>
        </w:rPr>
      </w:pPr>
    </w:p>
    <w:p w14:paraId="4F13FA76">
      <w:pPr>
        <w:pStyle w:val="11"/>
        <w:rPr>
          <w:rFonts w:hint="eastAsia" w:ascii="仿宋" w:hAnsi="仿宋" w:eastAsia="仿宋" w:cs="仿宋"/>
          <w:color w:val="auto"/>
          <w:highlight w:val="none"/>
          <w:lang w:val="en-US"/>
        </w:rPr>
      </w:pPr>
    </w:p>
    <w:p w14:paraId="582563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E0991">
    <w:pPr>
      <w:pStyle w:val="4"/>
      <w:framePr w:wrap="around" w:vAnchor="text" w:hAnchor="margin" w:xAlign="center" w:y="1"/>
      <w:rPr>
        <w:rStyle w:val="9"/>
      </w:rPr>
    </w:pPr>
  </w:p>
  <w:p w14:paraId="1579EF8F">
    <w:pPr>
      <w:pStyle w:val="4"/>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59441">
    <w:pPr>
      <w:pStyle w:val="4"/>
      <w:framePr w:wrap="around" w:vAnchor="text" w:hAnchor="margin" w:xAlign="center" w:y="1"/>
      <w:rPr>
        <w:rStyle w:val="9"/>
      </w:rPr>
    </w:pPr>
    <w:r>
      <w:fldChar w:fldCharType="begin"/>
    </w:r>
    <w:r>
      <w:rPr>
        <w:rStyle w:val="9"/>
      </w:rPr>
      <w:instrText xml:space="preserve">PAGE  </w:instrText>
    </w:r>
    <w:r>
      <w:fldChar w:fldCharType="end"/>
    </w:r>
  </w:p>
  <w:p w14:paraId="4B68A521">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49C2D">
    <w:pPr>
      <w:pStyle w:val="4"/>
      <w:framePr w:wrap="around" w:vAnchor="text" w:hAnchor="margin" w:xAlign="center" w:y="1"/>
      <w:rPr>
        <w:rStyle w:val="9"/>
      </w:rPr>
    </w:pPr>
  </w:p>
  <w:p w14:paraId="5854C5D0">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EA321">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80012">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625B6">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chineseCounting"/>
      <w:suff w:val="nothing"/>
      <w:lvlText w:val="（%1）"/>
      <w:lvlJc w:val="left"/>
      <w:rPr>
        <w:rFonts w:hint="eastAsia"/>
      </w:rPr>
    </w:lvl>
  </w:abstractNum>
  <w:abstractNum w:abstractNumId="1">
    <w:nsid w:val="00000002"/>
    <w:multiLevelType w:val="singleLevel"/>
    <w:tmpl w:val="00000002"/>
    <w:lvl w:ilvl="0" w:tentative="0">
      <w:start w:val="6"/>
      <w:numFmt w:val="chineseCounting"/>
      <w:suff w:val="nothing"/>
      <w:lvlText w:val="%1、"/>
      <w:lvlJc w:val="left"/>
      <w:rPr>
        <w:rFonts w:hint="eastAsia"/>
      </w:rPr>
    </w:lvl>
  </w:abstractNum>
  <w:abstractNum w:abstractNumId="2">
    <w:nsid w:val="00000003"/>
    <w:multiLevelType w:val="singleLevel"/>
    <w:tmpl w:val="0000000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D47BFD"/>
    <w:rsid w:val="378375B9"/>
    <w:rsid w:val="5F27741E"/>
    <w:rsid w:val="66A12F5B"/>
    <w:rsid w:val="77C63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page number"/>
    <w:basedOn w:val="8"/>
    <w:qFormat/>
    <w:uiPriority w:val="0"/>
  </w:style>
  <w:style w:type="paragraph" w:customStyle="1" w:styleId="10">
    <w:name w:val="列出段落1"/>
    <w:basedOn w:val="1"/>
    <w:qFormat/>
    <w:uiPriority w:val="34"/>
    <w:pPr>
      <w:ind w:firstLine="420" w:firstLineChars="200"/>
    </w:pPr>
  </w:style>
  <w:style w:type="paragraph" w:customStyle="1" w:styleId="11">
    <w:name w:val="null3"/>
    <w:qFormat/>
    <w:uiPriority w:val="0"/>
    <w:rPr>
      <w:rFonts w:hint="eastAsia" w:ascii="Calibri" w:hAnsi="Calibri" w:eastAsia="宋体" w:cs="宋体"/>
      <w:lang w:val="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4164</Words>
  <Characters>4247</Characters>
  <Lines>0</Lines>
  <Paragraphs>0</Paragraphs>
  <TotalTime>0</TotalTime>
  <ScaleCrop>false</ScaleCrop>
  <LinksUpToDate>false</LinksUpToDate>
  <CharactersWithSpaces>4316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2025-09-02T07:26:00Z</dcterms:created>
  <dc:creator>asus</dc:creator>
  <cp:lastModifiedBy>方湖</cp:lastModifiedBy>
  <dcterms:modified xsi:type="dcterms:W3CDTF">2025-11-05T00:52:08Z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eyJoZGlkIjoiN2NhN2Y2MGE5MjIwMDhkM2Q0ZjI1MGYxOTkyNDVjMmYiLCJ1c2VySWQiOiIyNjcyNzIyMzkifQ==</vt:lpwstr>
  </property>
  <property fmtid="{D5CDD505-2E9C-101B-9397-08002B2CF9AE}" pid="4" name="ICV">
    <vt:lpwstr>4903812053F5433B90F5E626CA5E9370_12</vt:lpwstr>
  </property>
</Properties>
</file>