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版本号：JXRC-25081320251113001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医用计量设备检定、校验、校准服务项目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JXRC-250813</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医用计量设备检定、校验、校准服务项目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JXRC-250813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医用计量设备检定、校验、校准服务项目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对全院医用计量设备进行定期检定、校验、检验服务。包含强检类及非强检类设备。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财务状况报告：法人提供会计师事务所出具的完整的2024年度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3、税收缴纳证明：法人提供自2024年8月1日以来至少一个月的纳税证明或完税证明，纳税证明或完税证明上应有代收机构或税务机关的公章或业务专用章；其他组织和自然人提供自2024年8月1日以来至少一个月缴纳税收的凭据；依法免税的供应商应提供相关文件证明；</w:t>
      </w:r>
    </w:p>
    <w:p>
      <w:pPr>
        <w:pStyle w:val="null3"/>
      </w:pPr>
      <w:r>
        <w:rPr>
          <w:rFonts w:ascii="仿宋_GB2312" w:hAnsi="仿宋_GB2312" w:cs="仿宋_GB2312" w:eastAsia="仿宋_GB2312"/>
        </w:rPr>
        <w:t>4、社会保障资金缴纳证明：提供自2024年8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人/负责人授权书：法定代表人/负责人直接参加投标的，只须递交《法定代表人/负责人身份证明书》，法定代表人/负责人授权代表参加投标的，须递交《法定代表人/负责人授权委托书》，以及授权代表开标截止前近三个月社会保险缴纳证明；</w:t>
      </w:r>
    </w:p>
    <w:p>
      <w:pPr>
        <w:pStyle w:val="null3"/>
      </w:pPr>
      <w:r>
        <w:rPr>
          <w:rFonts w:ascii="仿宋_GB2312" w:hAnsi="仿宋_GB2312" w:cs="仿宋_GB2312" w:eastAsia="仿宋_GB2312"/>
        </w:rPr>
        <w:t>6、无重大违法记录：供应商需在项目电子化交易系统中按要求填写《无重大违法记录声明》完成承诺；</w:t>
      </w:r>
    </w:p>
    <w:p>
      <w:pPr>
        <w:pStyle w:val="null3"/>
      </w:pPr>
      <w:r>
        <w:rPr>
          <w:rFonts w:ascii="仿宋_GB2312" w:hAnsi="仿宋_GB2312" w:cs="仿宋_GB2312" w:eastAsia="仿宋_GB2312"/>
        </w:rPr>
        <w:t>7、供应商应具有履行合同所必需的设备和专业技术能力：供应商需在项目电子化交易系统中按要求填写《具有履行合同所必需的设备和专业技术能力的承诺书》完成承诺。</w:t>
      </w:r>
    </w:p>
    <w:p>
      <w:pPr>
        <w:pStyle w:val="null3"/>
      </w:pPr>
      <w:r>
        <w:rPr>
          <w:rFonts w:ascii="仿宋_GB2312" w:hAnsi="仿宋_GB2312" w:cs="仿宋_GB2312" w:eastAsia="仿宋_GB2312"/>
        </w:rPr>
        <w:t>8、法定计量检定机构计量检测授权证书：具有市级及以上市场监管部门颁发的“中华人民共和国法定计量检定机构计量授权证书”或“检验检测机构资质认证证书(CMA)”，以及中国合格评定国家认可委员会(CNAS)颁发的实验室认可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曲慧、田颖琦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联系人：曲慧、田颖琦</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对全院医用计量设备进行定期检定、校验、检验服务。包含强检类及非强检类设备。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医用计量设备检定、校验、校准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标的名称：医用计量设备检定、校验、校准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一、服务内容</w:t>
            </w:r>
          </w:p>
          <w:p>
            <w:pPr>
              <w:pStyle w:val="null3"/>
            </w:pPr>
            <w:r>
              <w:rPr>
                <w:rFonts w:ascii="仿宋_GB2312" w:hAnsi="仿宋_GB2312" w:cs="仿宋_GB2312" w:eastAsia="仿宋_GB2312"/>
                <w:sz w:val="24"/>
              </w:rPr>
              <w:t>1</w:t>
            </w:r>
            <w:r>
              <w:rPr>
                <w:rFonts w:ascii="仿宋_GB2312" w:hAnsi="仿宋_GB2312" w:cs="仿宋_GB2312" w:eastAsia="仿宋_GB2312"/>
                <w:sz w:val="24"/>
              </w:rPr>
              <w:t>、强检医用计量器具登记</w:t>
            </w:r>
          </w:p>
          <w:p>
            <w:pPr>
              <w:pStyle w:val="null3"/>
            </w:pPr>
            <w:r>
              <w:rPr>
                <w:rFonts w:ascii="仿宋_GB2312" w:hAnsi="仿宋_GB2312" w:cs="仿宋_GB2312" w:eastAsia="仿宋_GB2312"/>
                <w:sz w:val="24"/>
              </w:rPr>
              <w:t>协助采购单位，以国家市场监督管理局的要求为标准完成全院强检医疗设备在中国电子质量监督（e-CQS） 系统上的登记造册，要求在合同签订后 15天内完成。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、强检医用设备计量检定</w:t>
            </w:r>
          </w:p>
          <w:p>
            <w:pPr>
              <w:pStyle w:val="null3"/>
              <w:ind w:firstLine="480"/>
              <w:jc w:val="both"/>
            </w:pPr>
            <w:r>
              <w:rPr>
                <w:rFonts w:ascii="仿宋_GB2312" w:hAnsi="仿宋_GB2312" w:cs="仿宋_GB2312" w:eastAsia="仿宋_GB2312"/>
                <w:sz w:val="24"/>
              </w:rPr>
              <w:t>强检医用设备计量检定。根据强检系统分配情况，协调联系相关检定单位，按年检时限对全院强检医用设备进行计量检定，要求在采购人通知后15天内完成。包含18类约767台件。</w:t>
            </w:r>
          </w:p>
          <w:tbl>
            <w:tblPr>
              <w:tblBorders>
                <w:top w:val="single"/>
                <w:left w:val="single"/>
                <w:bottom w:val="single"/>
                <w:right w:val="single"/>
                <w:insideH w:val="single"/>
                <w:insideV w:val="single"/>
              </w:tblBorders>
            </w:tblPr>
            <w:tblGrid>
              <w:gridCol w:w="250"/>
              <w:gridCol w:w="500"/>
              <w:gridCol w:w="651"/>
              <w:gridCol w:w="601"/>
              <w:gridCol w:w="450"/>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计量类型</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器具名称</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台件数</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备注</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血压计</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174</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心电图机</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56</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眼压计</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CT</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DR</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移动DR</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数字胃肠机</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乳腺机</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DSA</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C</w:t>
                  </w:r>
                  <w:r>
                    <w:rPr>
                      <w:rFonts w:ascii="仿宋_GB2312" w:hAnsi="仿宋_GB2312" w:cs="仿宋_GB2312" w:eastAsia="仿宋_GB2312"/>
                      <w:sz w:val="24"/>
                      <w:color w:val="000000"/>
                    </w:rPr>
                    <w:t>型臂</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监护仪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240</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压力表、真空表</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260</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电子天平</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13</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牙片机</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口腔CT</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验光仪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听力计</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强检</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脑电图仪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r>
            <w:tr>
              <w:tc>
                <w:tcPr>
                  <w:tcW w:type="dxa" w:w="1401"/>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合计</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767</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、非强检医用设备计量检定</w:t>
            </w:r>
            <w:r>
              <w:rPr>
                <w:rFonts w:ascii="仿宋_GB2312" w:hAnsi="仿宋_GB2312" w:cs="仿宋_GB2312" w:eastAsia="仿宋_GB2312"/>
                <w:sz w:val="24"/>
              </w:rPr>
              <w:t>/</w:t>
            </w:r>
            <w:r>
              <w:rPr>
                <w:rFonts w:ascii="仿宋_GB2312" w:hAnsi="仿宋_GB2312" w:cs="仿宋_GB2312" w:eastAsia="仿宋_GB2312"/>
                <w:sz w:val="24"/>
              </w:rPr>
              <w:t>校准</w:t>
            </w:r>
          </w:p>
          <w:p>
            <w:pPr>
              <w:pStyle w:val="null3"/>
              <w:ind w:firstLine="480"/>
              <w:jc w:val="both"/>
            </w:pPr>
            <w:r>
              <w:rPr>
                <w:rFonts w:ascii="仿宋_GB2312" w:hAnsi="仿宋_GB2312" w:cs="仿宋_GB2312" w:eastAsia="仿宋_GB2312"/>
                <w:sz w:val="24"/>
              </w:rPr>
              <w:t>非强检医用设备计量检定/校准。按年度时限对医院要求的需要计量检校的医疗设备，按国家检校规范进行计量检校工作，需在采购人通知后15天内完成。包含56类约847台件。</w:t>
            </w:r>
          </w:p>
          <w:tbl>
            <w:tblPr>
              <w:tblBorders>
                <w:top w:val="single"/>
                <w:left w:val="single"/>
                <w:bottom w:val="single"/>
                <w:right w:val="single"/>
                <w:insideH w:val="single"/>
                <w:insideV w:val="single"/>
              </w:tblBorders>
            </w:tblPr>
            <w:tblGrid>
              <w:gridCol w:w="266"/>
              <w:gridCol w:w="321"/>
              <w:gridCol w:w="678"/>
              <w:gridCol w:w="190"/>
              <w:gridCol w:w="427"/>
              <w:gridCol w:w="663"/>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计量类型</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器具名称</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台件数</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单价最高限价（元）</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备注（单价）</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心脏除颤仪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医用超声诊断仪超声源（B超）</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含一个探头，多测一个探头加收120元</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磁共振（MRI）</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3440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X</w:t>
                  </w:r>
                  <w:r>
                    <w:rPr>
                      <w:rFonts w:ascii="仿宋_GB2312" w:hAnsi="仿宋_GB2312" w:cs="仿宋_GB2312" w:eastAsia="仿宋_GB2312"/>
                      <w:sz w:val="24"/>
                      <w:color w:val="000000"/>
                    </w:rPr>
                    <w:t>、r射线骨密度仪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医用注射泵/注射泵</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按通道计费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呼吸机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血液透析仪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麻醉机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高频电刀</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移液器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加一个头加收50元</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人体秤</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酶标分析仪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390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戥秤</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离心机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水分测定仪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减压器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培养箱、干燥箱</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含1个点)+200/点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恒温恒湿箱</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含1个点)+250/点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常用玻璃量器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恒温循环解冻箱</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含1个点)+200/点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压力灭菌器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含1个点)+500/点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电热蒸汽灭菌器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含1个点)+500/点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血细胞（分析仪）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全自动生化（分析仪）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核酸提取仪/分析仪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尿沉渣分析仪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尿液分析仪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全自动免疫分析仪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糖化血红蛋白分析仪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凝血分析仪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生物安全柜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化学发光分析仪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额温枪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温湿度计</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（含2个温度和2湿度点）+40/点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医用冷藏箱</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含1个点)+200/点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显微镜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游标卡尺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辐射检测仪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1850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电动吸引器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试剂卡孵化器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275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清洗机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175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瓶口分液器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190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电子天平</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210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气相/液相色谱仪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酸度计</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灌装机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每增加1头加收15元</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尘埃粒子计数器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净化工作台</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水浴锅</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含1个点)+240/点</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肺功能仪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紫外分光光度计</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氧气吸入器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浮游菌采样器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血液分析仪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PCR</w:t>
                  </w:r>
                  <w:r>
                    <w:rPr>
                      <w:rFonts w:ascii="仿宋_GB2312" w:hAnsi="仿宋_GB2312" w:cs="仿宋_GB2312" w:eastAsia="仿宋_GB2312"/>
                      <w:sz w:val="24"/>
                      <w:color w:val="000000"/>
                    </w:rPr>
                    <w:t>荧光定量扩增分析仪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2800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非强检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全自动微量元素分析仪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1265"/>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合计</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847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、检定、校准工作和服务质量应满足实验室质量体系文件的要求，质保期限根据设备技术文件中的要求执行。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、成交供应商应在规定时间内完成检定、校准工作并提供所有设备的计量检定、校准证书。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二、技术要求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、计量器具要求：本项目计量所用设备应与CNAS或计量标准考核证书中所列设备一致，溯源合格，溯源证书在有效期内.设备参数符合计量检定规程或校准规范要求，并提供有效证明材料。</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、所有计量数据均可溯源至国家基准，出具的证书、报告均应获得市场监管局认可。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满足本项目需求，提供检测团队人员数量及行业相关资格证书。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本合同自签订之日起生效，有效期为一年。合同到期后或在合同有效期内，采购人按照合同项委托服务，当委托服务金额达预算总金额后，合同自动终止。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：服务期满后，经甲方确认，乙方开具符合要求的全额发票，据实结算所有款项，支付限额不能超过预算金额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1、付款方式（采购文件中有表述不一致的地方以此处为准）： 服务期满后，经甲方确认，乙方开具符合甲方要求的全额发票，达到付款条件起 30日内，据实结算所有款项，支付限额不能超过预算金额。 2、供应商未被列入相关部门“黑名单”以及有行贿、串标等违法违规行为；进入相关部门“黑名单”的供应商以及有行贿、串标等违法违规行为并经查实的供应商不能参与招标人采购项目的投标活动。对“黑名单”中供应商采取“一票否决”及“随时叫停”机制，在报名、资格审核、评审、公示、合同签订等各环节一旦发现并查实有行贿等违法违规行为的，立即取消其相关资格且终止合同签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完整的2024年度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法人提供自2024年8月1日以来至少一个月的纳税证明或完税证明，纳税证明或完税证明上应有代收机构或税务机关的公章或业务专用章；其他组织和自然人提供自2024年8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提供自2024年8月1日以来至少一个月已缴纳的社会保障资金的证明（社会保障资金缴存单据或社保机构开具的社会保险参保缴费情况证明等)；依法不需要缴纳社会保障资金的供应商应提供相关证明文件；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投标的，只须递交《法定代表人/负责人身份证明书》，法定代表人/负责人授权代表参加投标的，须递交《法定代表人/负责人授权委托书》，以及授权代表开标截止前近三个月社会保险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供应商需在项目电子化交易系统中按要求填写《无重大违法记录声明》完成承诺；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供应商需在项目电子化交易系统中按要求填写《具有履行合同所必需的设备和专业技术能力的承诺书》完成承诺。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法定计量检定机构计量检测授权证书</w:t>
            </w:r>
          </w:p>
        </w:tc>
        <w:tc>
          <w:tcPr>
            <w:tcW w:type="dxa" w:w="3322"/>
          </w:tcPr>
          <w:p>
            <w:pPr>
              <w:pStyle w:val="null3"/>
            </w:pPr>
            <w:r>
              <w:rPr>
                <w:rFonts w:ascii="仿宋_GB2312" w:hAnsi="仿宋_GB2312" w:cs="仿宋_GB2312" w:eastAsia="仿宋_GB2312"/>
              </w:rPr>
              <w:t>具有市级及以上市场监管部门颁发的“中华人民共和国法定计量检定机构计量授权证书”或“检验检测机构资质认证证书(CMA)”，以及中国合格评定国家认可委员会(CNAS)颁发的实验室认可证书。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服务响应偏离表 商务响应偏离表 分项报价表 中小企业声明函 报价表 供应商业绩 响应文件封面 其他材料 残疾人福利性单位声明函 供应商基本信息 供应商企业关联关系声明函 服务方案 标的清单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服务要求符合性</w:t>
            </w:r>
          </w:p>
        </w:tc>
        <w:tc>
          <w:tcPr>
            <w:tcW w:type="dxa" w:w="2492"/>
          </w:tcPr>
          <w:p>
            <w:pPr>
              <w:pStyle w:val="null3"/>
            </w:pPr>
            <w:r>
              <w:rPr>
                <w:rFonts w:ascii="仿宋_GB2312" w:hAnsi="仿宋_GB2312" w:cs="仿宋_GB2312" w:eastAsia="仿宋_GB2312"/>
              </w:rPr>
              <w:t>供应商完全响应第三章3.2.2《服务要求》，满足采购文件要求的得21分。 服务要求中，负偏离一项扣3分； 备注：所有参数须提供佐证材料（佐证材料不限于服务承诺、相关证明材料等），否则不予得分。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w:t>
            </w:r>
          </w:p>
        </w:tc>
      </w:tr>
      <w:tr>
        <w:tc>
          <w:tcPr>
            <w:tcW w:type="dxa" w:w="831"/>
            <w:vMerge/>
          </w:tcP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一、评审内容 供应商针对本项目提供技术服务及设备管理方案，内容包括：①检测工作的详细规划；②供应商针对本项目时间进度安排；③技术能力与资源保障；④提供的校准检测器具情况；⑤检测工作流程。 二、评审标准 1、完整性：方案须全面合理，架构完整，对评审内容中的各项要求有详细描述； 2、可实施性：切合本项目实际情况，实施步骤清晰、合理； 3、针对性：方案能够紧扣本项目所检测设备等实际情况，内容科学合理。 三、赋分依据（满分20分） 上述5项评审内容全部满足评审标准得20分；每有一个评审内容缺项扣4分，扣完为止；每有一项评审内容存在缺陷，扣（0-4）分。 说明：缺陷是指内容没有结合项目实际需求、虽有内容但不完善、内容表述前后不一致或与项目需求不匹配及其他不利于项目实施的等任意一种情形。 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供应商针对本项目提供质量保证措施及承诺，内容包括：①具备完善的服务质量、安全保障体系；②项目组工作模式；③工作机制与质量体系管理机制；④检测质量保证目标。 二、评审标准 1、完整性：方案须全面合理，架构完整，对评审内容中的各项要求有详细描述； 2、可实施性：切合本项目实际情况，实施步骤清晰、合理； 3、针对性：方案能够紧扣本项目实际情况，内容科学合理。 三、赋分依据（满分16分） 上述4项评审内容全部满足评审标准得16分；每有一个评审内容缺项扣4分，扣完为止；每有一项评审内容存在缺陷，扣（0-4）分。 说明：缺陷是指内容没有结合项目实际需求、虽有内容但不完善、内容表述前后不一致或与项目需求不匹配及其他不利于项目实施的等任意一种情形。 未提供得0分。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供应商针对本项目提供合理化建议，内容包括但不限于：①为不影响临床的正常工作优化检定组织流程的措施；②减少消耗、提高效率、降低成本的措施。 二、评审标准 1、完整性：方案须全面合理，架构完整对评审内容中的各项要求有详细描述； 2、可实施性：切合本项目实际情况，实施步骤清晰、合理； 3、针对性：方案能够紧扣本项目实际情况，内容科学合理。 三、赋分依据（满分6分） 上述2项评审内容全部满足评审标准得6分；每有一个评审内容缺项扣3分，扣完为止；每有一项评审内容存在缺陷，扣（0-3）分。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提供供应商自2022年8月1日至响应文件递交截止时间前（以合同签订时间为准）同类项目业绩，需提供完整有效的合同复印件，每提供一份完整资料得2分，最多得10分。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项目负责人和项目组成人员需具备同类项目实施能力及经验，所有人员均持证上岗，提供项目组成员专业力量人员架构的经验水平，提供职称资格证书、专业技术资格证书等。 1、（满分3分）项目负责人需满足一级注册计量师并且工作经验满五年及以上（且承诺不得更换）得3分。 2、（满分5分）人员架构科学、合理、专业，满足一级注册计量师及二级注册计量师一共15人及以上，并提供资格证书等佐证材料，不足15人每少1人扣1分，扣完为止。 3、项目团队成员在15人基础上，每增加1人得1分，最高得4分。 注：1、以上相关人员需提供开标截止前近三个月社会保险缴纳证明； 2、以上相关人员提供包括但不限于学历证明、岗位分工、相关证书等证明材料。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15。计算分数时四舍五入取小数点后两位。注：小型、微型企业或达到小型、微型企业划分标准的监狱企业，按“投标总报价×10%”进行扣减，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