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版本号：SCZC2025-CS-2893-00120251111001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西安市检验结果汇聚共享平台第三方测评服务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SCZC2025-CS-2893-001</w:t>
      </w:r>
      <w:r>
        <w:br/>
      </w:r>
      <w:r>
        <w:br/>
      </w:r>
      <w:r>
        <w:br/>
      </w:r>
    </w:p>
    <w:p>
      <w:pPr>
        <w:pStyle w:val="null3"/>
        <w:jc w:val="center"/>
        <w:outlineLvl w:val="2"/>
      </w:pPr>
      <w:r>
        <w:rPr>
          <w:rFonts w:ascii="仿宋_GB2312" w:hAnsi="仿宋_GB2312" w:cs="仿宋_GB2312" w:eastAsia="仿宋_GB2312"/>
          <w:sz w:val="28"/>
          <w:b/>
        </w:rPr>
        <w:t>西安市卫生统计信息中心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西安市卫生统计信息中心</w:t>
      </w:r>
      <w:r>
        <w:rPr>
          <w:rFonts w:ascii="仿宋_GB2312" w:hAnsi="仿宋_GB2312" w:cs="仿宋_GB2312" w:eastAsia="仿宋_GB2312"/>
        </w:rPr>
        <w:t>委托，拟对</w:t>
      </w:r>
      <w:r>
        <w:rPr>
          <w:rFonts w:ascii="仿宋_GB2312" w:hAnsi="仿宋_GB2312" w:cs="仿宋_GB2312" w:eastAsia="仿宋_GB2312"/>
        </w:rPr>
        <w:t>西安市检验结果汇聚共享平台第三方测评服务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SCZC2025-CS-2893-001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西安市检验结果汇聚共享平台第三方测评服务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采购项目是对西安市检验结果汇聚共享平台进行第三方测评服务。依据相关管理规范、技术标准，对西安市检验结果汇聚共享平台进行不同维度测评，针对系统测评问题进行分析评估，提出整改意见与优化建议，最终形成软件测评报告。具体内容详见本项目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采购包1（西安市检验结果汇聚共享平台第三方测评服务）：属于专门面向中小企业采购。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1、资质证书：供应商须具备市场监督管理部门颁发的CMA《检验检测机构资质证书》；</w:t>
      </w:r>
    </w:p>
    <w:p>
      <w:pPr>
        <w:pStyle w:val="null3"/>
      </w:pPr>
      <w:r>
        <w:rPr>
          <w:rFonts w:ascii="仿宋_GB2312" w:hAnsi="仿宋_GB2312" w:cs="仿宋_GB2312" w:eastAsia="仿宋_GB2312"/>
        </w:rPr>
        <w:t>2、信用查询：供应商在递交投标文件截止时间前被“信用中国”网站（www.creditchina.gov.cn）和“中国政府采购网”（www.ccgp.gov.cn）上被列入失信被执行人、重大税收违法失信主体、政府采购严重违法失信行为信息记录名单的，不得参加磋商。</w:t>
      </w:r>
    </w:p>
    <w:p>
      <w:pPr>
        <w:pStyle w:val="null3"/>
      </w:pPr>
      <w:r>
        <w:rPr>
          <w:rFonts w:ascii="仿宋_GB2312" w:hAnsi="仿宋_GB2312" w:cs="仿宋_GB2312" w:eastAsia="仿宋_GB2312"/>
        </w:rPr>
        <w:t>3、授权委托书：法定代表人直接参加磋商的，须出具法定代表人身份证明，并与营业执照上信息一致。法定代表人授权代表参磋商的，须出具法定代表人授权书及授权代表在本单位的社会保险缴纳证明（近六个月中任意一个月）。</w:t>
      </w:r>
    </w:p>
    <w:p>
      <w:pPr>
        <w:pStyle w:val="null3"/>
      </w:pPr>
      <w:r>
        <w:rPr>
          <w:rFonts w:ascii="仿宋_GB2312" w:hAnsi="仿宋_GB2312" w:cs="仿宋_GB2312" w:eastAsia="仿宋_GB2312"/>
        </w:rPr>
        <w:t>4、供应商不得存在下列情形之一：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西安市卫生统计信息中心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西安市未央区凤城8路109号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029-86787930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李思鋆、田婧、王莉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代理服务费收费标准：代理服务费按定额6000元收取，成交供应商在领取中标通知书前一次性缴清。 成交单位交纳服务费信息： 银行户名：陕西省采购招标有限责任公司 开户银行：中国光大银行西安友谊路支行 账 号：78560188000095264 联系人：财务部 联系电话：029-85256853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西安市卫生统计信息中心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西安市卫生统计信息中心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西安市卫生统计信息中心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以磋商文件和合同约定为准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采购项目是对西安市检验结果汇聚共享平台进行第三方测评服务。依据相关管理规范、技术标准，对西安市检验结果汇聚共享平台进行不同维度测评，针对系统测评问题进行分析评估，提出整改意见与优化建议，最终形成软件测评报告。具体内容详见本项目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150000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标的名称：150000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rPr>
              <w:t>一、项目概述</w:t>
            </w:r>
          </w:p>
          <w:p>
            <w:pPr>
              <w:pStyle w:val="null3"/>
            </w:pPr>
            <w:r>
              <w:rPr>
                <w:rFonts w:ascii="仿宋_GB2312" w:hAnsi="仿宋_GB2312" w:cs="仿宋_GB2312" w:eastAsia="仿宋_GB2312"/>
              </w:rPr>
              <w:t>保障信息安全是当前信息化发展中迫切需要解决的重大问题。只有建立了完善的信息安全保障体系，才能有效防范和化解安全风险，确保西安市检验结果汇聚共享平台平稳运行和业务持续开展。</w:t>
            </w:r>
          </w:p>
          <w:p>
            <w:pPr>
              <w:pStyle w:val="null3"/>
            </w:pPr>
            <w:r>
              <w:rPr>
                <w:rFonts w:ascii="仿宋_GB2312" w:hAnsi="仿宋_GB2312" w:cs="仿宋_GB2312" w:eastAsia="仿宋_GB2312"/>
              </w:rPr>
              <w:t>本采购依据相关管理规范、技术标准，对西安市检验结果汇聚共享平台进行不同维度测评，针对系统测评问题进行分析评估，提出整改意见与优化建议，最终形成软件测评报告。通过第三方专业化测评，确保西安市检验结果汇聚共享平台系统 (所有定制开发软件)功能、性能符合招投标文件、合同与技术协议内的相关要求。</w:t>
            </w:r>
          </w:p>
          <w:p>
            <w:pPr>
              <w:pStyle w:val="null3"/>
            </w:pPr>
            <w:r>
              <w:rPr>
                <w:rFonts w:ascii="仿宋_GB2312" w:hAnsi="仿宋_GB2312" w:cs="仿宋_GB2312" w:eastAsia="仿宋_GB2312"/>
              </w:rPr>
              <w:t xml:space="preserve"> 二、测试依据</w:t>
            </w:r>
          </w:p>
          <w:p>
            <w:pPr>
              <w:pStyle w:val="null3"/>
            </w:pPr>
            <w:r>
              <w:rPr>
                <w:rFonts w:ascii="仿宋_GB2312" w:hAnsi="仿宋_GB2312" w:cs="仿宋_GB2312" w:eastAsia="仿宋_GB2312"/>
              </w:rPr>
              <w:t>本次测试工作应依据下列标准规范要求开展：</w:t>
            </w:r>
          </w:p>
          <w:p>
            <w:pPr>
              <w:pStyle w:val="null3"/>
            </w:pPr>
            <w:r>
              <w:rPr>
                <w:rFonts w:ascii="仿宋_GB2312" w:hAnsi="仿宋_GB2312" w:cs="仿宋_GB2312" w:eastAsia="仿宋_GB2312"/>
              </w:rPr>
              <w:t>(1)《系统安全开发规范》</w:t>
            </w:r>
          </w:p>
          <w:p>
            <w:pPr>
              <w:pStyle w:val="null3"/>
            </w:pPr>
            <w:r>
              <w:rPr>
                <w:rFonts w:ascii="仿宋_GB2312" w:hAnsi="仿宋_GB2312" w:cs="仿宋_GB2312" w:eastAsia="仿宋_GB2312"/>
              </w:rPr>
              <w:t>(2)《系统应用系统技术架构规范》</w:t>
            </w:r>
          </w:p>
          <w:p>
            <w:pPr>
              <w:pStyle w:val="null3"/>
            </w:pPr>
            <w:r>
              <w:rPr>
                <w:rFonts w:ascii="仿宋_GB2312" w:hAnsi="仿宋_GB2312" w:cs="仿宋_GB2312" w:eastAsia="仿宋_GB2312"/>
              </w:rPr>
              <w:t>(3)《软件工程 软件产品 质量要求与评价（SQuaRE）商业现货（COTS）软件产品的质量要求和测试细则》</w:t>
            </w:r>
          </w:p>
          <w:p>
            <w:pPr>
              <w:pStyle w:val="null3"/>
            </w:pPr>
            <w:r>
              <w:rPr>
                <w:rFonts w:ascii="仿宋_GB2312" w:hAnsi="仿宋_GB2312" w:cs="仿宋_GB2312" w:eastAsia="仿宋_GB2312"/>
              </w:rPr>
              <w:t>三、测试内容</w:t>
            </w:r>
          </w:p>
          <w:p>
            <w:pPr>
              <w:pStyle w:val="null3"/>
            </w:pPr>
            <w:r>
              <w:rPr>
                <w:rFonts w:ascii="仿宋_GB2312" w:hAnsi="仿宋_GB2312" w:cs="仿宋_GB2312" w:eastAsia="仿宋_GB2312"/>
              </w:rPr>
              <w:t>对西安市检验结果汇聚共享平台系统 (所有定制开发软件)进行不同维度测试，针对系统测评问题进行分析评估，提出整改意见与优化建议，最终形成软件测评报告。</w:t>
            </w:r>
          </w:p>
          <w:p>
            <w:pPr>
              <w:pStyle w:val="null3"/>
            </w:pPr>
            <w:r>
              <w:rPr>
                <w:rFonts w:ascii="仿宋_GB2312" w:hAnsi="仿宋_GB2312" w:cs="仿宋_GB2312" w:eastAsia="仿宋_GB2312"/>
              </w:rPr>
              <w:t>四、测试要求</w:t>
            </w:r>
          </w:p>
          <w:p>
            <w:pPr>
              <w:pStyle w:val="null3"/>
            </w:pPr>
            <w:r>
              <w:rPr>
                <w:rFonts w:ascii="仿宋_GB2312" w:hAnsi="仿宋_GB2312" w:cs="仿宋_GB2312" w:eastAsia="仿宋_GB2312"/>
              </w:rPr>
              <w:t>1.依据《软件工程 软件产品 质量要求与评价（SQuaRE）商业现货（COTS）软件产品的质量要求和测试细则》及相关的要求，分析研制总要求、各系统软件技术要求、研制任务书和软件需求规格说明等文档，结合系统软件特点和运行环境，编制软件测评大纲；</w:t>
            </w:r>
          </w:p>
          <w:p>
            <w:pPr>
              <w:pStyle w:val="null3"/>
            </w:pPr>
            <w:r>
              <w:rPr>
                <w:rFonts w:ascii="仿宋_GB2312" w:hAnsi="仿宋_GB2312" w:cs="仿宋_GB2312" w:eastAsia="仿宋_GB2312"/>
              </w:rPr>
              <w:t>2.测试内容覆盖研制技术要求和软件开发文档中明确及隐含的软件需求；</w:t>
            </w:r>
          </w:p>
          <w:p>
            <w:pPr>
              <w:pStyle w:val="null3"/>
            </w:pPr>
            <w:r>
              <w:rPr>
                <w:rFonts w:ascii="仿宋_GB2312" w:hAnsi="仿宋_GB2312" w:cs="仿宋_GB2312" w:eastAsia="仿宋_GB2312"/>
              </w:rPr>
              <w:t>3.逐项测试软件需求规格说明规定的软件配置项在不同的运行状态和方式下的功能、性能等能力需求；</w:t>
            </w:r>
          </w:p>
          <w:p>
            <w:pPr>
              <w:pStyle w:val="null3"/>
            </w:pPr>
            <w:r>
              <w:rPr>
                <w:rFonts w:ascii="仿宋_GB2312" w:hAnsi="仿宋_GB2312" w:cs="仿宋_GB2312" w:eastAsia="仿宋_GB2312"/>
              </w:rPr>
              <w:t>4.逐项测试软件需求规格说明规定的软件配置项的外部接口、安全性、保密性、软件质量等需求；</w:t>
            </w:r>
          </w:p>
          <w:p>
            <w:pPr>
              <w:pStyle w:val="null3"/>
            </w:pPr>
            <w:r>
              <w:rPr>
                <w:rFonts w:ascii="仿宋_GB2312" w:hAnsi="仿宋_GB2312" w:cs="仿宋_GB2312" w:eastAsia="仿宋_GB2312"/>
              </w:rPr>
              <w:t>5.软件配置项的每项能力或需求被一个正常测试用例和一个异常测试用例覆盖；</w:t>
            </w:r>
          </w:p>
          <w:p>
            <w:pPr>
              <w:pStyle w:val="null3"/>
            </w:pPr>
            <w:r>
              <w:rPr>
                <w:rFonts w:ascii="仿宋_GB2312" w:hAnsi="仿宋_GB2312" w:cs="仿宋_GB2312" w:eastAsia="仿宋_GB2312"/>
              </w:rPr>
              <w:t>6.测试运行条件在边界状态和异常状态下，或在人为设定的状态下，软件配置项的功能和性能；</w:t>
            </w:r>
          </w:p>
          <w:p>
            <w:pPr>
              <w:pStyle w:val="null3"/>
            </w:pPr>
            <w:r>
              <w:rPr>
                <w:rFonts w:ascii="仿宋_GB2312" w:hAnsi="仿宋_GB2312" w:cs="仿宋_GB2312" w:eastAsia="仿宋_GB2312"/>
              </w:rPr>
              <w:t>五、测试交付及期限</w:t>
            </w:r>
          </w:p>
          <w:p>
            <w:pPr>
              <w:pStyle w:val="null3"/>
            </w:pPr>
            <w:r>
              <w:rPr>
                <w:rFonts w:ascii="仿宋_GB2312" w:hAnsi="仿宋_GB2312" w:cs="仿宋_GB2312" w:eastAsia="仿宋_GB2312"/>
              </w:rPr>
              <w:t>供应商应合理评估测试工作量、制定测试时间计划、以及测试人力资源投入，软件开发完成初验后开始软件测试，测试分为初测和一轮回归测试，初测评需要在20个工作日内完成，全部测评在系统上线前完成，并出具测评报告。</w:t>
            </w:r>
          </w:p>
          <w:p>
            <w:pPr>
              <w:pStyle w:val="null3"/>
            </w:pPr>
            <w:r>
              <w:rPr>
                <w:rFonts w:ascii="仿宋_GB2312" w:hAnsi="仿宋_GB2312" w:cs="仿宋_GB2312" w:eastAsia="仿宋_GB2312"/>
              </w:rPr>
              <w:t>测试完成后需要提交以下工作产品：</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工作产品</w:t>
                  </w:r>
                </w:p>
              </w:tc>
              <w:tc>
                <w:tcPr>
                  <w:tcW w:type="dxa" w:w="851"/>
                </w:tcPr>
                <w:p>
                  <w:pPr>
                    <w:pStyle w:val="null3"/>
                  </w:pPr>
                  <w:r>
                    <w:rPr>
                      <w:rFonts w:ascii="仿宋_GB2312" w:hAnsi="仿宋_GB2312" w:cs="仿宋_GB2312" w:eastAsia="仿宋_GB2312"/>
                    </w:rPr>
                    <w:t>备注</w:t>
                  </w:r>
                </w:p>
              </w:tc>
            </w:tr>
            <w:tr>
              <w:tc>
                <w:tcPr>
                  <w:tcW w:type="dxa" w:w="851"/>
                </w:tcPr>
                <w:p>
                  <w:pPr>
                    <w:pStyle w:val="null3"/>
                    <w:jc w:val="center"/>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《功能测试用例集》</w:t>
                  </w:r>
                </w:p>
              </w:tc>
              <w:tc>
                <w:tcPr>
                  <w:tcW w:type="dxa" w:w="851"/>
                </w:tcPr>
                <w:p>
                  <w:pPr>
                    <w:pStyle w:val="null3"/>
                  </w:pPr>
                  <w:r>
                    <w:rPr>
                      <w:rFonts w:ascii="仿宋_GB2312" w:hAnsi="仿宋_GB2312" w:cs="仿宋_GB2312" w:eastAsia="仿宋_GB2312"/>
                    </w:rPr>
                    <w:t>含所有测试场景及预期结果</w:t>
                  </w:r>
                </w:p>
              </w:tc>
            </w:tr>
            <w:tr>
              <w:tc>
                <w:tcPr>
                  <w:tcW w:type="dxa" w:w="851"/>
                </w:tcPr>
                <w:p>
                  <w:pPr>
                    <w:pStyle w:val="null3"/>
                    <w:jc w:val="center"/>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《功能缺陷跟踪表》</w:t>
                  </w:r>
                </w:p>
              </w:tc>
              <w:tc>
                <w:tcPr>
                  <w:tcW w:type="dxa" w:w="851"/>
                </w:tcPr>
                <w:p>
                  <w:pPr>
                    <w:pStyle w:val="null3"/>
                  </w:pPr>
                  <w:r>
                    <w:rPr>
                      <w:rFonts w:ascii="仿宋_GB2312" w:hAnsi="仿宋_GB2312" w:cs="仿宋_GB2312" w:eastAsia="仿宋_GB2312"/>
                    </w:rPr>
                    <w:t>标注缺陷等级、复现步骤、修复验证结果</w:t>
                  </w:r>
                </w:p>
              </w:tc>
            </w:tr>
            <w:tr>
              <w:tc>
                <w:tcPr>
                  <w:tcW w:type="dxa" w:w="851"/>
                </w:tcPr>
                <w:p>
                  <w:pPr>
                    <w:pStyle w:val="null3"/>
                    <w:jc w:val="center"/>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《性能测试方案》</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jc w:val="center"/>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《性能测试监控数据集》</w:t>
                  </w:r>
                </w:p>
              </w:tc>
              <w:tc>
                <w:tcPr>
                  <w:tcW w:type="dxa" w:w="851"/>
                </w:tcPr>
                <w:p>
                  <w:pPr>
                    <w:pStyle w:val="null3"/>
                  </w:pPr>
                  <w:r>
                    <w:rPr>
                      <w:rFonts w:ascii="仿宋_GB2312" w:hAnsi="仿宋_GB2312" w:cs="仿宋_GB2312" w:eastAsia="仿宋_GB2312"/>
                    </w:rPr>
                    <w:t>含并发数、响应时间、服务器资源占用曲线等可视化图表</w:t>
                  </w:r>
                </w:p>
              </w:tc>
            </w:tr>
            <w:tr>
              <w:tc>
                <w:tcPr>
                  <w:tcW w:type="dxa" w:w="851"/>
                </w:tcPr>
                <w:p>
                  <w:pPr>
                    <w:pStyle w:val="null3"/>
                    <w:jc w:val="center"/>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《检验结果汇聚共享平台第三方评测总报告》</w:t>
                  </w:r>
                </w:p>
              </w:tc>
              <w:tc>
                <w:tcPr>
                  <w:tcW w:type="dxa" w:w="851"/>
                </w:tcPr>
                <w:p>
                  <w:pPr>
                    <w:pStyle w:val="null3"/>
                  </w:pPr>
                  <w:r>
                    <w:rPr>
                      <w:rFonts w:ascii="仿宋_GB2312" w:hAnsi="仿宋_GB2312" w:cs="仿宋_GB2312" w:eastAsia="仿宋_GB2312"/>
                    </w:rPr>
                    <w:t>需加盖CMA/CNAS资质章，明确“通过/不通过”结论，及未达标项的整改建议</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软件开发完成初验后开始软件测试，测试分为初测和一轮回归测试，初测评需要在20个工作日内完成，全部测评在系统上线前完成，并出具测评报告。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出具评测总报告后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（1）成交供应商在领取成交通知书时提供纸质版响应文件2套，确保与电子投标文件保持一致，不允许修改和补充。 （2）供应商的磋商报价是供应商响应磋商项目要求的全部工作内容的价格，包含不限于完成本项目所需的测评服务费、交通费、人员差旅费、税费、利润、税金等完成测评工作所需的所有费用。 （3）评审现场磋商后供应商提供最终响应报价，供应商应充分考虑报价时限，充分准备最终报价。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2.供应商2024年度经审计的财务审计报告，或本年度基本开户行出具的资信证明； 3.供应商近六个月中任意一个月依法缴纳税收证明的凭证；（依法免税或无须缴纳税收的供应商，应提供相应文件证明。） 4.供应商近六个月中任意一个月依法缴纳社会保障资金的凭证；（依法不需要缴纳社会保障资金的，应提供相应证明文件，并加盖本单位公章。） 5.供应商具备履行合同所必需的设备和专业技术能力的承诺； 6.供应商参加政府采购活动前3年内在经营活动中没有重大违法记录的书面声明； 7.法律、行政法规规定的其他条件。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（1）提供2024年度财务报告复印件，应满足以下要求：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资信证明须为本年度内由供应商基本账户开户银行出具。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供应商须具备市场监督管理部门颁发的CMA《检验检测机构资质证书》；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信息记录名单的，不得参加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磋商的，须出具法定代表人身份证明，并与营业执照上信息一致。法定代表人授权代表参磋商的，须出具法定代表人授权书及授权代表在本单位的社会保险缴纳证明（近六个月中任意一个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分项报价表.docx 服务内容及服务邀请应答表 商务应答表 企业业绩.docx 其他材料.docx 响应方案.docx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w:t>
            </w:r>
          </w:p>
        </w:tc>
        <w:tc>
          <w:tcPr>
            <w:tcW w:type="dxa" w:w="1661"/>
          </w:tcPr>
          <w:p>
            <w:pPr>
              <w:pStyle w:val="null3"/>
            </w:pPr>
            <w:r>
              <w:rPr>
                <w:rFonts w:ascii="仿宋_GB2312" w:hAnsi="仿宋_GB2312" w:cs="仿宋_GB2312" w:eastAsia="仿宋_GB2312"/>
              </w:rPr>
              <w:t>响应文件封面 其他材料.docx 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其他材料.docx 响应方案.docx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其他材料.docx 响应方案.docx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整体服务方案，内容包括但不限于：对采购需求的理解分析、服务目标及思路、服务组织架构、执行标准、工作方法等。方案清晰明确，内容合理，可行性强，符合采购需求，无缺陷得10分，每有一项缺陷，扣1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测试方案</w:t>
            </w:r>
          </w:p>
        </w:tc>
        <w:tc>
          <w:tcPr>
            <w:tcW w:type="dxa" w:w="2492"/>
          </w:tcPr>
          <w:p>
            <w:pPr>
              <w:pStyle w:val="null3"/>
            </w:pPr>
            <w:r>
              <w:rPr>
                <w:rFonts w:ascii="仿宋_GB2312" w:hAnsi="仿宋_GB2312" w:cs="仿宋_GB2312" w:eastAsia="仿宋_GB2312"/>
              </w:rPr>
              <w:t>针对本项目提供测试方案，内容包括但不限于：测评计划、测试组织方案、测评问题分析、整改意见、测评报告编制等。方案清晰明确，内容合理，可行性强，符合采购需求，无缺陷得15分，每有一项缺陷，扣1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质量保障及应急方案</w:t>
            </w:r>
          </w:p>
        </w:tc>
        <w:tc>
          <w:tcPr>
            <w:tcW w:type="dxa" w:w="2492"/>
          </w:tcPr>
          <w:p>
            <w:pPr>
              <w:pStyle w:val="null3"/>
            </w:pPr>
            <w:r>
              <w:rPr>
                <w:rFonts w:ascii="仿宋_GB2312" w:hAnsi="仿宋_GB2312" w:cs="仿宋_GB2312" w:eastAsia="仿宋_GB2312"/>
              </w:rPr>
              <w:t>针对本项目有详细的质量保障、内控制度及应急预案，包括但不限于工作依据、报告质量等内容，对可能出现的问题有具体可行的应急措施和解决方案，以及针对突发状况的后期跟进服务方案等。满足项目实施要求，无缺陷得,15分，每有一项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时间进度安排</w:t>
            </w:r>
          </w:p>
        </w:tc>
        <w:tc>
          <w:tcPr>
            <w:tcW w:type="dxa" w:w="2492"/>
          </w:tcPr>
          <w:p>
            <w:pPr>
              <w:pStyle w:val="null3"/>
            </w:pPr>
            <w:r>
              <w:rPr>
                <w:rFonts w:ascii="仿宋_GB2312" w:hAnsi="仿宋_GB2312" w:cs="仿宋_GB2312" w:eastAsia="仿宋_GB2312"/>
              </w:rPr>
              <w:t>提供针对本项目工作流程，时间安排科学合理，时效性强，各个阶段的工作要点明确。满足项目实施进度要求，无缺陷得10分，每有一项缺陷，扣1分，扣完为止。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项目组织机构人员</w:t>
            </w:r>
          </w:p>
        </w:tc>
        <w:tc>
          <w:tcPr>
            <w:tcW w:type="dxa" w:w="2492"/>
          </w:tcPr>
          <w:p>
            <w:pPr>
              <w:pStyle w:val="null3"/>
            </w:pPr>
            <w:r>
              <w:rPr>
                <w:rFonts w:ascii="仿宋_GB2312" w:hAnsi="仿宋_GB2312" w:cs="仿宋_GB2312" w:eastAsia="仿宋_GB2312"/>
              </w:rPr>
              <w:t>针对本项目投入的组织机构人员（包括不限于组织架构，人员安排、工作职责等），组织机构设置合理，管理人员及技术人员配备数量充足、人员职责明确、分工清晰合理、相关项目实施经验丰富。满足项目实施要求，无缺陷得12分，每有一项缺陷，扣1分，扣完为止。 （1、须附所有人员近六个月任意一个月的社保证明材料，未提供不得分；2、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针对本项目提供保密方案，方案包含但不限于:保密制度，保密信息范围及保密主体等内容，测试过程的保密承诺等。内容详细合理，针对性强，责任明确，承诺完整，满足项目实施要求，无缺陷得5分，每有一项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供应商每提供1项增值服务的1分，最高2分。注：增值服务需磋商小组一致认同为有效。</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提供具体的售后服务方案。售后服务完善合理、可实施性强的，满足项目实施要求，无缺陷得6分，每有一项缺陷，扣1分，扣完为止。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供应商须提供2022年1月1日起至今类似项目业绩，每提供1项有效业绩得3分，最高得15分。 注：以合同或中标通知书签订时间为准，附复印件或扫描件。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p>
            <w:pPr>
              <w:pStyle w:val="null3"/>
            </w:pPr>
            <w:r>
              <w:rPr>
                <w:rFonts w:ascii="仿宋_GB2312" w:hAnsi="仿宋_GB2312" w:cs="仿宋_GB2312" w:eastAsia="仿宋_GB2312"/>
              </w:rPr>
              <w:t>其他材料.docx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满足磋商文件要求且最终磋商报价最低的为基准价，其价格分为满分。其他磋商供应商的价格分统一按照下列公式计算：最终磋商报价得分=（基准价/最终磋商报价）×价格权值×100 注：本项目为专门面向中小企业，不进行价格折扣。</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