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A44278">
      <w:pPr>
        <w:tabs>
          <w:tab w:val="left" w:pos="5670"/>
        </w:tabs>
        <w:autoSpaceDE w:val="0"/>
        <w:autoSpaceDN w:val="0"/>
        <w:adjustRightInd w:val="0"/>
        <w:snapToGrid w:val="0"/>
        <w:spacing w:line="360" w:lineRule="auto"/>
        <w:rPr>
          <w:rFonts w:hint="eastAsia" w:ascii="仿宋" w:hAnsi="仿宋" w:eastAsia="仿宋" w:cs="仿宋"/>
          <w:b/>
          <w:bCs/>
          <w:sz w:val="44"/>
          <w:szCs w:val="44"/>
        </w:rPr>
      </w:pPr>
    </w:p>
    <w:p w14:paraId="28BAF4FC">
      <w:pPr>
        <w:tabs>
          <w:tab w:val="left" w:pos="5670"/>
        </w:tabs>
        <w:autoSpaceDE w:val="0"/>
        <w:autoSpaceDN w:val="0"/>
        <w:adjustRightInd w:val="0"/>
        <w:snapToGrid w:val="0"/>
        <w:spacing w:line="360" w:lineRule="auto"/>
        <w:rPr>
          <w:rFonts w:hint="eastAsia" w:ascii="仿宋" w:hAnsi="仿宋" w:eastAsia="仿宋" w:cs="仿宋"/>
          <w:b/>
          <w:bCs/>
          <w:sz w:val="44"/>
          <w:szCs w:val="44"/>
        </w:rPr>
      </w:pPr>
    </w:p>
    <w:p w14:paraId="5DDF5D8D">
      <w:pPr>
        <w:tabs>
          <w:tab w:val="left" w:pos="5670"/>
        </w:tabs>
        <w:autoSpaceDE w:val="0"/>
        <w:autoSpaceDN w:val="0"/>
        <w:adjustRightInd w:val="0"/>
        <w:snapToGrid w:val="0"/>
        <w:spacing w:line="360" w:lineRule="auto"/>
        <w:rPr>
          <w:rFonts w:hint="eastAsia" w:ascii="仿宋" w:hAnsi="仿宋" w:eastAsia="仿宋" w:cs="仿宋"/>
          <w:b/>
          <w:bCs/>
          <w:sz w:val="44"/>
          <w:szCs w:val="44"/>
        </w:rPr>
      </w:pPr>
    </w:p>
    <w:p w14:paraId="3F0A7CDD">
      <w:pPr>
        <w:tabs>
          <w:tab w:val="left" w:pos="5670"/>
        </w:tabs>
        <w:autoSpaceDE w:val="0"/>
        <w:autoSpaceDN w:val="0"/>
        <w:adjustRightInd w:val="0"/>
        <w:snapToGrid w:val="0"/>
        <w:spacing w:line="360" w:lineRule="auto"/>
        <w:jc w:val="center"/>
        <w:rPr>
          <w:rFonts w:hint="eastAsia" w:ascii="仿宋" w:hAnsi="仿宋" w:eastAsia="仿宋" w:cs="仿宋"/>
          <w:b/>
          <w:bCs/>
          <w:sz w:val="44"/>
          <w:szCs w:val="44"/>
        </w:rPr>
      </w:pPr>
      <w:r>
        <w:rPr>
          <w:rFonts w:hint="eastAsia" w:ascii="仿宋" w:hAnsi="仿宋" w:eastAsia="仿宋" w:cs="仿宋"/>
          <w:b/>
          <w:bCs/>
          <w:sz w:val="44"/>
          <w:szCs w:val="44"/>
        </w:rPr>
        <w:t>西安市第三医院</w:t>
      </w:r>
    </w:p>
    <w:p w14:paraId="2D882FF7">
      <w:pPr>
        <w:tabs>
          <w:tab w:val="left" w:pos="5670"/>
        </w:tabs>
        <w:autoSpaceDE w:val="0"/>
        <w:autoSpaceDN w:val="0"/>
        <w:adjustRightInd w:val="0"/>
        <w:snapToGrid w:val="0"/>
        <w:spacing w:line="360" w:lineRule="auto"/>
        <w:jc w:val="center"/>
        <w:rPr>
          <w:rFonts w:hint="eastAsia" w:ascii="仿宋" w:hAnsi="仿宋" w:eastAsia="仿宋" w:cs="仿宋"/>
          <w:b/>
          <w:bCs/>
          <w:sz w:val="44"/>
          <w:szCs w:val="44"/>
        </w:rPr>
      </w:pPr>
      <w:r>
        <w:rPr>
          <w:rFonts w:hint="eastAsia" w:ascii="仿宋" w:hAnsi="仿宋" w:eastAsia="仿宋" w:cs="仿宋"/>
          <w:b/>
          <w:bCs/>
          <w:sz w:val="44"/>
          <w:szCs w:val="44"/>
          <w:u w:val="single"/>
        </w:rPr>
        <w:t xml:space="preserve">            </w:t>
      </w:r>
      <w:r>
        <w:rPr>
          <w:rFonts w:hint="eastAsia" w:ascii="仿宋" w:hAnsi="仿宋" w:eastAsia="仿宋" w:cs="仿宋"/>
          <w:b/>
          <w:bCs/>
          <w:sz w:val="44"/>
          <w:szCs w:val="44"/>
        </w:rPr>
        <w:t>服务采购合同</w:t>
      </w:r>
    </w:p>
    <w:p w14:paraId="7F3E9070">
      <w:pPr>
        <w:pStyle w:val="15"/>
        <w:jc w:val="center"/>
        <w:rPr>
          <w:rFonts w:hint="eastAsia" w:ascii="仿宋" w:hAnsi="仿宋" w:eastAsia="仿宋" w:cs="仿宋"/>
          <w:b/>
          <w:bCs/>
          <w:sz w:val="44"/>
          <w:szCs w:val="44"/>
        </w:rPr>
      </w:pPr>
    </w:p>
    <w:p w14:paraId="494D2A54">
      <w:pPr>
        <w:spacing w:line="800" w:lineRule="exact"/>
        <w:jc w:val="center"/>
        <w:rPr>
          <w:rFonts w:hint="eastAsia" w:ascii="仿宋" w:hAnsi="仿宋" w:eastAsia="仿宋" w:cs="仿宋"/>
          <w:b/>
          <w:sz w:val="36"/>
          <w:szCs w:val="36"/>
        </w:rPr>
      </w:pPr>
      <w:r>
        <w:rPr>
          <w:rFonts w:hint="eastAsia" w:ascii="仿宋" w:hAnsi="仿宋" w:eastAsia="仿宋" w:cs="仿宋"/>
          <w:b/>
          <w:sz w:val="36"/>
          <w:szCs w:val="36"/>
        </w:rPr>
        <w:t>采购编号：</w:t>
      </w:r>
    </w:p>
    <w:p w14:paraId="1185CC42">
      <w:pPr>
        <w:rPr>
          <w:rFonts w:hint="eastAsia" w:ascii="仿宋" w:hAnsi="仿宋" w:eastAsia="仿宋" w:cs="仿宋"/>
        </w:rPr>
      </w:pPr>
    </w:p>
    <w:p w14:paraId="154C5F69">
      <w:pPr>
        <w:pStyle w:val="15"/>
        <w:rPr>
          <w:rFonts w:hint="eastAsia" w:ascii="仿宋" w:hAnsi="仿宋" w:eastAsia="仿宋" w:cs="仿宋"/>
        </w:rPr>
      </w:pPr>
    </w:p>
    <w:p w14:paraId="7AAC6297">
      <w:pPr>
        <w:pStyle w:val="15"/>
        <w:rPr>
          <w:rFonts w:hint="eastAsia" w:ascii="仿宋" w:hAnsi="仿宋" w:eastAsia="仿宋" w:cs="仿宋"/>
        </w:rPr>
      </w:pPr>
    </w:p>
    <w:p w14:paraId="7E5EC0CD">
      <w:pPr>
        <w:spacing w:line="440" w:lineRule="exact"/>
        <w:rPr>
          <w:rFonts w:hint="eastAsia" w:ascii="仿宋" w:hAnsi="仿宋" w:eastAsia="仿宋" w:cs="仿宋"/>
          <w:sz w:val="24"/>
        </w:rPr>
      </w:pPr>
    </w:p>
    <w:p w14:paraId="72FEA3D9">
      <w:pPr>
        <w:ind w:firstLine="2080" w:firstLineChars="650"/>
        <w:rPr>
          <w:rFonts w:hint="eastAsia" w:ascii="仿宋" w:hAnsi="仿宋" w:eastAsia="仿宋" w:cs="仿宋"/>
          <w:sz w:val="32"/>
          <w:szCs w:val="32"/>
        </w:rPr>
      </w:pPr>
      <w:r>
        <w:rPr>
          <w:rFonts w:hint="eastAsia" w:ascii="仿宋" w:hAnsi="仿宋" w:eastAsia="仿宋" w:cs="仿宋"/>
          <w:sz w:val="32"/>
          <w:szCs w:val="32"/>
        </w:rPr>
        <w:t>甲  方：西安市第三医院</w:t>
      </w:r>
    </w:p>
    <w:p w14:paraId="3FEAB2BD">
      <w:pPr>
        <w:pStyle w:val="15"/>
        <w:rPr>
          <w:rFonts w:hint="eastAsia" w:ascii="仿宋" w:hAnsi="仿宋" w:eastAsia="仿宋" w:cs="仿宋"/>
        </w:rPr>
      </w:pPr>
    </w:p>
    <w:p w14:paraId="0461C2FC">
      <w:pPr>
        <w:tabs>
          <w:tab w:val="left" w:pos="480"/>
        </w:tabs>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乙  方： </w:t>
      </w:r>
    </w:p>
    <w:p w14:paraId="7BB5CC71">
      <w:pPr>
        <w:rPr>
          <w:rFonts w:hint="eastAsia" w:ascii="仿宋" w:hAnsi="仿宋" w:eastAsia="仿宋" w:cs="仿宋"/>
          <w:sz w:val="32"/>
          <w:szCs w:val="32"/>
        </w:rPr>
      </w:pPr>
      <w:r>
        <w:rPr>
          <w:rFonts w:hint="eastAsia" w:ascii="仿宋" w:hAnsi="仿宋" w:eastAsia="仿宋" w:cs="仿宋"/>
          <w:sz w:val="32"/>
          <w:szCs w:val="32"/>
        </w:rPr>
        <w:t xml:space="preserve">            </w:t>
      </w:r>
    </w:p>
    <w:p w14:paraId="5891E804">
      <w:pPr>
        <w:jc w:val="center"/>
        <w:rPr>
          <w:rFonts w:hint="eastAsia" w:ascii="仿宋" w:hAnsi="仿宋" w:eastAsia="仿宋" w:cs="仿宋"/>
          <w:sz w:val="30"/>
          <w:szCs w:val="30"/>
        </w:rPr>
      </w:pPr>
    </w:p>
    <w:p w14:paraId="51C8D8DF">
      <w:pPr>
        <w:pStyle w:val="15"/>
        <w:rPr>
          <w:rFonts w:hint="eastAsia" w:ascii="仿宋" w:hAnsi="仿宋" w:eastAsia="仿宋" w:cs="仿宋"/>
        </w:rPr>
      </w:pPr>
    </w:p>
    <w:p w14:paraId="792787CC">
      <w:pPr>
        <w:jc w:val="center"/>
        <w:rPr>
          <w:rFonts w:hint="eastAsia" w:ascii="仿宋" w:hAnsi="仿宋" w:eastAsia="仿宋" w:cs="仿宋"/>
          <w:sz w:val="32"/>
          <w:szCs w:val="32"/>
        </w:rPr>
      </w:pPr>
      <w:r>
        <w:rPr>
          <w:rFonts w:hint="eastAsia" w:ascii="仿宋" w:hAnsi="仿宋" w:eastAsia="仿宋" w:cs="仿宋"/>
          <w:sz w:val="32"/>
          <w:szCs w:val="32"/>
        </w:rPr>
        <w:t xml:space="preserve"> 年     月</w:t>
      </w:r>
    </w:p>
    <w:p w14:paraId="63D51FD6">
      <w:pPr>
        <w:jc w:val="center"/>
        <w:rPr>
          <w:rFonts w:hint="eastAsia" w:ascii="仿宋" w:hAnsi="仿宋" w:eastAsia="仿宋" w:cs="仿宋"/>
          <w:sz w:val="32"/>
          <w:szCs w:val="32"/>
        </w:rPr>
      </w:pPr>
    </w:p>
    <w:p w14:paraId="6197760A">
      <w:pPr>
        <w:jc w:val="center"/>
        <w:rPr>
          <w:rFonts w:hint="eastAsia" w:ascii="仿宋" w:hAnsi="仿宋" w:eastAsia="仿宋" w:cs="仿宋"/>
          <w:sz w:val="32"/>
          <w:szCs w:val="32"/>
        </w:rPr>
      </w:pPr>
      <w:r>
        <w:rPr>
          <w:rFonts w:hint="eastAsia" w:ascii="仿宋" w:hAnsi="仿宋" w:eastAsia="仿宋" w:cs="仿宋"/>
          <w:sz w:val="32"/>
          <w:szCs w:val="32"/>
        </w:rPr>
        <w:t>中国  西安</w:t>
      </w:r>
    </w:p>
    <w:p w14:paraId="1A28217C">
      <w:pPr>
        <w:jc w:val="center"/>
        <w:rPr>
          <w:rFonts w:hint="eastAsia" w:ascii="仿宋" w:hAnsi="仿宋" w:eastAsia="仿宋" w:cs="仿宋"/>
          <w:sz w:val="32"/>
          <w:szCs w:val="32"/>
        </w:rPr>
      </w:pPr>
    </w:p>
    <w:p w14:paraId="68C5899B">
      <w:pPr>
        <w:rPr>
          <w:rFonts w:hint="eastAsia" w:ascii="仿宋" w:hAnsi="仿宋" w:eastAsia="仿宋" w:cs="仿宋"/>
          <w:sz w:val="24"/>
        </w:rPr>
      </w:pPr>
      <w:r>
        <w:rPr>
          <w:rFonts w:hint="eastAsia" w:ascii="仿宋" w:hAnsi="仿宋" w:eastAsia="仿宋" w:cs="仿宋"/>
          <w:sz w:val="24"/>
        </w:rPr>
        <w:br w:type="page"/>
      </w:r>
    </w:p>
    <w:p w14:paraId="53D708AE">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甲方：西安市第三医院</w:t>
      </w:r>
    </w:p>
    <w:p w14:paraId="255319C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住所地：西安市未央区凤城三路东段10号</w:t>
      </w:r>
    </w:p>
    <w:p w14:paraId="39F2B58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法定代表人：杨军乐 </w:t>
      </w:r>
    </w:p>
    <w:p w14:paraId="2017FC6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联系方式：029-61816199   </w:t>
      </w:r>
    </w:p>
    <w:p w14:paraId="3BC212C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p>
    <w:p w14:paraId="4F6B18B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乙方： </w:t>
      </w:r>
    </w:p>
    <w:p w14:paraId="56F3EE8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住所地： </w:t>
      </w:r>
    </w:p>
    <w:p w14:paraId="0A10E2F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法定代表人： </w:t>
      </w:r>
    </w:p>
    <w:p w14:paraId="14C6581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联系方式： </w:t>
      </w:r>
      <w:r>
        <w:rPr>
          <w:rFonts w:hint="eastAsia" w:ascii="仿宋" w:hAnsi="仿宋" w:eastAsia="仿宋" w:cs="仿宋"/>
          <w:sz w:val="28"/>
          <w:szCs w:val="28"/>
        </w:rPr>
        <w:tab/>
      </w:r>
    </w:p>
    <w:p w14:paraId="5220F92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p>
    <w:p w14:paraId="42CF250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西安市第三医院（以下简称甲方）所需本合同项目下的“</w:t>
      </w:r>
      <w:r>
        <w:rPr>
          <w:rFonts w:hint="eastAsia" w:ascii="仿宋" w:hAnsi="仿宋" w:eastAsia="仿宋" w:cs="仿宋"/>
          <w:sz w:val="28"/>
          <w:szCs w:val="28"/>
          <w:u w:val="single"/>
        </w:rPr>
        <w:t xml:space="preserve">        </w:t>
      </w:r>
      <w:r>
        <w:rPr>
          <w:rFonts w:hint="eastAsia" w:ascii="仿宋" w:hAnsi="仿宋" w:eastAsia="仿宋" w:cs="仿宋"/>
          <w:sz w:val="28"/>
          <w:szCs w:val="28"/>
        </w:rPr>
        <w:t>”，参照政府采购程序，进行竞争性磋商采购，确定</w:t>
      </w:r>
      <w:r>
        <w:rPr>
          <w:rFonts w:hint="eastAsia" w:ascii="仿宋" w:hAnsi="仿宋" w:eastAsia="仿宋" w:cs="仿宋"/>
          <w:sz w:val="28"/>
          <w:szCs w:val="28"/>
          <w:u w:val="single"/>
        </w:rPr>
        <w:t xml:space="preserve">         </w:t>
      </w:r>
      <w:r>
        <w:rPr>
          <w:rFonts w:hint="eastAsia" w:ascii="仿宋" w:hAnsi="仿宋" w:eastAsia="仿宋" w:cs="仿宋"/>
          <w:sz w:val="28"/>
          <w:szCs w:val="28"/>
        </w:rPr>
        <w:t>（以下简称乙方）为成交人。依据《中华人民共和国政府采购法》、《中华人民共和国民法典》以及</w:t>
      </w:r>
      <w:r>
        <w:rPr>
          <w:rFonts w:hint="eastAsia" w:ascii="仿宋" w:hAnsi="仿宋" w:eastAsia="仿宋" w:cs="仿宋"/>
          <w:sz w:val="28"/>
          <w:szCs w:val="28"/>
          <w:lang w:eastAsia="zh-CN"/>
        </w:rPr>
        <w:t>成交供应商</w:t>
      </w:r>
      <w:r>
        <w:rPr>
          <w:rFonts w:hint="eastAsia" w:ascii="仿宋" w:hAnsi="仿宋" w:eastAsia="仿宋" w:cs="仿宋"/>
          <w:sz w:val="28"/>
          <w:szCs w:val="28"/>
        </w:rPr>
        <w:t>响应文件正本和澄清表（函）、成交通知书，经甲、乙双方协商，达成如下条款。</w:t>
      </w:r>
    </w:p>
    <w:p w14:paraId="73258BD8">
      <w:pPr>
        <w:pStyle w:val="27"/>
        <w:keepNext w:val="0"/>
        <w:keepLines w:val="0"/>
        <w:pageBreakBefore w:val="0"/>
        <w:widowControl w:val="0"/>
        <w:numPr>
          <w:ilvl w:val="0"/>
          <w:numId w:val="2"/>
        </w:numPr>
        <w:tabs>
          <w:tab w:val="left" w:pos="480"/>
        </w:tabs>
        <w:kinsoku/>
        <w:wordWrap/>
        <w:overflowPunct/>
        <w:topLinePunct w:val="0"/>
        <w:autoSpaceDE/>
        <w:autoSpaceDN/>
        <w:bidi w:val="0"/>
        <w:adjustRightInd w:val="0"/>
        <w:snapToGrid w:val="0"/>
        <w:spacing w:line="360" w:lineRule="auto"/>
        <w:ind w:firstLineChars="0"/>
        <w:textAlignment w:val="auto"/>
        <w:rPr>
          <w:rFonts w:hint="eastAsia" w:ascii="仿宋" w:hAnsi="仿宋" w:eastAsia="仿宋" w:cs="仿宋"/>
          <w:sz w:val="28"/>
          <w:szCs w:val="28"/>
        </w:rPr>
      </w:pPr>
      <w:r>
        <w:rPr>
          <w:rFonts w:hint="eastAsia" w:ascii="仿宋" w:hAnsi="仿宋" w:eastAsia="仿宋" w:cs="仿宋"/>
          <w:b/>
          <w:sz w:val="28"/>
          <w:szCs w:val="28"/>
        </w:rPr>
        <w:t>合同标的物内容及数量</w:t>
      </w:r>
      <w:r>
        <w:rPr>
          <w:rFonts w:hint="eastAsia" w:ascii="仿宋" w:hAnsi="仿宋" w:eastAsia="仿宋" w:cs="仿宋"/>
          <w:sz w:val="28"/>
          <w:szCs w:val="28"/>
        </w:rPr>
        <w:t>（以磋商响应文件正本和澄清表〈函〉为准）</w:t>
      </w:r>
    </w:p>
    <w:tbl>
      <w:tblPr>
        <w:tblStyle w:val="19"/>
        <w:tblpPr w:leftFromText="180" w:rightFromText="180" w:vertAnchor="text" w:tblpXSpec="center" w:tblpY="1"/>
        <w:tblOverlap w:val="never"/>
        <w:tblW w:w="96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629"/>
        <w:gridCol w:w="1851"/>
        <w:gridCol w:w="1134"/>
        <w:gridCol w:w="1134"/>
        <w:gridCol w:w="1418"/>
        <w:gridCol w:w="1710"/>
      </w:tblGrid>
      <w:tr w14:paraId="07A13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9" w:type="dxa"/>
            <w:vAlign w:val="center"/>
          </w:tcPr>
          <w:p w14:paraId="3C430B73">
            <w:pPr>
              <w:keepNext w:val="0"/>
              <w:keepLines w:val="0"/>
              <w:pageBreakBefore w:val="0"/>
              <w:tabs>
                <w:tab w:val="left" w:pos="480"/>
              </w:tabs>
              <w:kinsoku/>
              <w:wordWrap/>
              <w:overflowPunct/>
              <w:topLinePunct w:val="0"/>
              <w:autoSpaceDE/>
              <w:autoSpaceDN/>
              <w:bidi w:val="0"/>
              <w:adjustRightInd w:val="0"/>
              <w:snapToGrid w:val="0"/>
              <w:jc w:val="center"/>
              <w:textAlignment w:val="auto"/>
              <w:rPr>
                <w:rFonts w:hint="eastAsia" w:ascii="仿宋" w:hAnsi="仿宋" w:eastAsia="仿宋" w:cs="仿宋"/>
                <w:color w:val="000000"/>
                <w:spacing w:val="-20"/>
                <w:kern w:val="0"/>
                <w:sz w:val="28"/>
                <w:szCs w:val="32"/>
              </w:rPr>
            </w:pPr>
            <w:r>
              <w:rPr>
                <w:rFonts w:hint="eastAsia" w:ascii="仿宋" w:hAnsi="仿宋" w:eastAsia="仿宋" w:cs="仿宋"/>
                <w:color w:val="000000"/>
                <w:spacing w:val="-20"/>
                <w:kern w:val="0"/>
                <w:sz w:val="28"/>
                <w:szCs w:val="32"/>
              </w:rPr>
              <w:t>序号</w:t>
            </w:r>
          </w:p>
        </w:tc>
        <w:tc>
          <w:tcPr>
            <w:tcW w:w="1629" w:type="dxa"/>
            <w:vAlign w:val="center"/>
          </w:tcPr>
          <w:p w14:paraId="70D7DCDA">
            <w:pPr>
              <w:keepNext w:val="0"/>
              <w:keepLines w:val="0"/>
              <w:pageBreakBefore w:val="0"/>
              <w:tabs>
                <w:tab w:val="left" w:pos="480"/>
              </w:tabs>
              <w:kinsoku/>
              <w:wordWrap/>
              <w:overflowPunct/>
              <w:topLinePunct w:val="0"/>
              <w:autoSpaceDE/>
              <w:autoSpaceDN/>
              <w:bidi w:val="0"/>
              <w:adjustRightInd w:val="0"/>
              <w:snapToGrid w:val="0"/>
              <w:jc w:val="center"/>
              <w:textAlignment w:val="auto"/>
              <w:rPr>
                <w:rFonts w:hint="eastAsia" w:ascii="仿宋" w:hAnsi="仿宋" w:eastAsia="仿宋" w:cs="仿宋"/>
                <w:color w:val="000000"/>
                <w:spacing w:val="-20"/>
                <w:kern w:val="0"/>
                <w:sz w:val="28"/>
                <w:szCs w:val="32"/>
              </w:rPr>
            </w:pPr>
            <w:r>
              <w:rPr>
                <w:rFonts w:hint="eastAsia" w:ascii="仿宋" w:hAnsi="仿宋" w:eastAsia="仿宋" w:cs="仿宋"/>
                <w:color w:val="000000"/>
                <w:spacing w:val="-20"/>
                <w:kern w:val="0"/>
                <w:sz w:val="28"/>
                <w:szCs w:val="32"/>
              </w:rPr>
              <w:t>服务名称</w:t>
            </w:r>
          </w:p>
        </w:tc>
        <w:tc>
          <w:tcPr>
            <w:tcW w:w="1851" w:type="dxa"/>
            <w:vAlign w:val="center"/>
          </w:tcPr>
          <w:p w14:paraId="37D0DBDB">
            <w:pPr>
              <w:keepNext w:val="0"/>
              <w:keepLines w:val="0"/>
              <w:pageBreakBefore w:val="0"/>
              <w:tabs>
                <w:tab w:val="left" w:pos="480"/>
              </w:tabs>
              <w:kinsoku/>
              <w:wordWrap/>
              <w:overflowPunct/>
              <w:topLinePunct w:val="0"/>
              <w:autoSpaceDE/>
              <w:autoSpaceDN/>
              <w:bidi w:val="0"/>
              <w:adjustRightInd w:val="0"/>
              <w:snapToGrid w:val="0"/>
              <w:jc w:val="center"/>
              <w:textAlignment w:val="auto"/>
              <w:rPr>
                <w:rFonts w:hint="eastAsia" w:ascii="仿宋" w:hAnsi="仿宋" w:eastAsia="仿宋" w:cs="仿宋"/>
                <w:color w:val="000000"/>
                <w:spacing w:val="-20"/>
                <w:kern w:val="0"/>
                <w:sz w:val="28"/>
                <w:szCs w:val="32"/>
              </w:rPr>
            </w:pPr>
            <w:r>
              <w:rPr>
                <w:rFonts w:hint="eastAsia" w:ascii="仿宋" w:hAnsi="仿宋" w:eastAsia="仿宋" w:cs="仿宋"/>
                <w:color w:val="000000"/>
                <w:spacing w:val="-20"/>
                <w:kern w:val="0"/>
                <w:sz w:val="28"/>
                <w:szCs w:val="32"/>
              </w:rPr>
              <w:t>服务内容</w:t>
            </w:r>
          </w:p>
        </w:tc>
        <w:tc>
          <w:tcPr>
            <w:tcW w:w="1134" w:type="dxa"/>
            <w:vAlign w:val="center"/>
          </w:tcPr>
          <w:p w14:paraId="4B59DC1A">
            <w:pPr>
              <w:keepNext w:val="0"/>
              <w:keepLines w:val="0"/>
              <w:pageBreakBefore w:val="0"/>
              <w:tabs>
                <w:tab w:val="left" w:pos="480"/>
              </w:tabs>
              <w:kinsoku/>
              <w:wordWrap/>
              <w:overflowPunct/>
              <w:topLinePunct w:val="0"/>
              <w:autoSpaceDE/>
              <w:autoSpaceDN/>
              <w:bidi w:val="0"/>
              <w:adjustRightInd w:val="0"/>
              <w:snapToGrid w:val="0"/>
              <w:jc w:val="center"/>
              <w:textAlignment w:val="auto"/>
              <w:rPr>
                <w:rFonts w:hint="eastAsia" w:ascii="仿宋" w:hAnsi="仿宋" w:eastAsia="仿宋" w:cs="仿宋"/>
                <w:color w:val="000000"/>
                <w:spacing w:val="-20"/>
                <w:kern w:val="0"/>
                <w:sz w:val="28"/>
                <w:szCs w:val="32"/>
              </w:rPr>
            </w:pPr>
            <w:r>
              <w:rPr>
                <w:rFonts w:hint="eastAsia" w:ascii="仿宋" w:hAnsi="仿宋" w:eastAsia="仿宋" w:cs="仿宋"/>
                <w:color w:val="000000"/>
                <w:spacing w:val="-20"/>
                <w:kern w:val="0"/>
                <w:sz w:val="28"/>
                <w:szCs w:val="32"/>
              </w:rPr>
              <w:t>数量</w:t>
            </w:r>
          </w:p>
        </w:tc>
        <w:tc>
          <w:tcPr>
            <w:tcW w:w="1134" w:type="dxa"/>
            <w:vAlign w:val="center"/>
          </w:tcPr>
          <w:p w14:paraId="714E26A9">
            <w:pPr>
              <w:keepNext w:val="0"/>
              <w:keepLines w:val="0"/>
              <w:pageBreakBefore w:val="0"/>
              <w:tabs>
                <w:tab w:val="left" w:pos="480"/>
              </w:tabs>
              <w:kinsoku/>
              <w:wordWrap/>
              <w:overflowPunct/>
              <w:topLinePunct w:val="0"/>
              <w:autoSpaceDE/>
              <w:autoSpaceDN/>
              <w:bidi w:val="0"/>
              <w:adjustRightInd w:val="0"/>
              <w:snapToGrid w:val="0"/>
              <w:jc w:val="center"/>
              <w:textAlignment w:val="auto"/>
              <w:rPr>
                <w:rFonts w:hint="eastAsia" w:ascii="仿宋" w:hAnsi="仿宋" w:eastAsia="仿宋" w:cs="仿宋"/>
                <w:color w:val="000000"/>
                <w:spacing w:val="-20"/>
                <w:kern w:val="0"/>
                <w:sz w:val="28"/>
                <w:szCs w:val="32"/>
              </w:rPr>
            </w:pPr>
            <w:r>
              <w:rPr>
                <w:rFonts w:hint="eastAsia" w:ascii="仿宋" w:hAnsi="仿宋" w:eastAsia="仿宋" w:cs="仿宋"/>
                <w:color w:val="000000"/>
                <w:spacing w:val="-20"/>
                <w:kern w:val="0"/>
                <w:sz w:val="28"/>
                <w:szCs w:val="32"/>
              </w:rPr>
              <w:t>单价（元）</w:t>
            </w:r>
          </w:p>
        </w:tc>
        <w:tc>
          <w:tcPr>
            <w:tcW w:w="1418" w:type="dxa"/>
            <w:vAlign w:val="center"/>
          </w:tcPr>
          <w:p w14:paraId="2AC63BF7">
            <w:pPr>
              <w:keepNext w:val="0"/>
              <w:keepLines w:val="0"/>
              <w:pageBreakBefore w:val="0"/>
              <w:tabs>
                <w:tab w:val="left" w:pos="480"/>
              </w:tabs>
              <w:kinsoku/>
              <w:wordWrap/>
              <w:overflowPunct/>
              <w:topLinePunct w:val="0"/>
              <w:autoSpaceDE/>
              <w:autoSpaceDN/>
              <w:bidi w:val="0"/>
              <w:adjustRightInd w:val="0"/>
              <w:snapToGrid w:val="0"/>
              <w:jc w:val="center"/>
              <w:textAlignment w:val="auto"/>
              <w:rPr>
                <w:rFonts w:hint="eastAsia" w:ascii="仿宋" w:hAnsi="仿宋" w:eastAsia="仿宋" w:cs="仿宋"/>
                <w:color w:val="000000"/>
                <w:spacing w:val="-20"/>
                <w:kern w:val="0"/>
                <w:sz w:val="28"/>
                <w:szCs w:val="32"/>
              </w:rPr>
            </w:pPr>
            <w:r>
              <w:rPr>
                <w:rFonts w:hint="eastAsia" w:ascii="仿宋" w:hAnsi="仿宋" w:eastAsia="仿宋" w:cs="仿宋"/>
                <w:color w:val="000000"/>
                <w:spacing w:val="-20"/>
                <w:kern w:val="0"/>
                <w:sz w:val="28"/>
                <w:szCs w:val="32"/>
              </w:rPr>
              <w:t>小计（元）</w:t>
            </w:r>
          </w:p>
        </w:tc>
        <w:tc>
          <w:tcPr>
            <w:tcW w:w="1710" w:type="dxa"/>
            <w:vAlign w:val="center"/>
          </w:tcPr>
          <w:p w14:paraId="725BC250">
            <w:pPr>
              <w:keepNext w:val="0"/>
              <w:keepLines w:val="0"/>
              <w:pageBreakBefore w:val="0"/>
              <w:tabs>
                <w:tab w:val="left" w:pos="480"/>
              </w:tabs>
              <w:kinsoku/>
              <w:wordWrap/>
              <w:overflowPunct/>
              <w:topLinePunct w:val="0"/>
              <w:autoSpaceDE/>
              <w:autoSpaceDN/>
              <w:bidi w:val="0"/>
              <w:adjustRightInd w:val="0"/>
              <w:snapToGrid w:val="0"/>
              <w:jc w:val="center"/>
              <w:textAlignment w:val="auto"/>
              <w:rPr>
                <w:rFonts w:hint="eastAsia" w:ascii="仿宋" w:hAnsi="仿宋" w:eastAsia="仿宋" w:cs="仿宋"/>
                <w:color w:val="000000"/>
                <w:spacing w:val="-20"/>
                <w:kern w:val="0"/>
                <w:sz w:val="28"/>
                <w:szCs w:val="32"/>
              </w:rPr>
            </w:pPr>
            <w:r>
              <w:rPr>
                <w:rFonts w:hint="eastAsia" w:ascii="仿宋" w:hAnsi="仿宋" w:eastAsia="仿宋" w:cs="仿宋"/>
                <w:color w:val="000000"/>
                <w:spacing w:val="-20"/>
                <w:kern w:val="0"/>
                <w:sz w:val="28"/>
                <w:szCs w:val="32"/>
              </w:rPr>
              <w:t>备注</w:t>
            </w:r>
          </w:p>
        </w:tc>
      </w:tr>
      <w:tr w14:paraId="1CC49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9" w:type="dxa"/>
            <w:vAlign w:val="center"/>
          </w:tcPr>
          <w:p w14:paraId="0454F4FE">
            <w:pPr>
              <w:keepNext w:val="0"/>
              <w:keepLines w:val="0"/>
              <w:pageBreakBefore w:val="0"/>
              <w:tabs>
                <w:tab w:val="left" w:pos="480"/>
              </w:tabs>
              <w:kinsoku/>
              <w:wordWrap/>
              <w:overflowPunct/>
              <w:topLinePunct w:val="0"/>
              <w:autoSpaceDE/>
              <w:autoSpaceDN/>
              <w:bidi w:val="0"/>
              <w:adjustRightInd w:val="0"/>
              <w:snapToGrid w:val="0"/>
              <w:jc w:val="center"/>
              <w:textAlignment w:val="auto"/>
              <w:rPr>
                <w:rFonts w:hint="eastAsia" w:ascii="仿宋" w:hAnsi="仿宋" w:eastAsia="仿宋" w:cs="仿宋"/>
                <w:color w:val="000000"/>
                <w:spacing w:val="-20"/>
                <w:kern w:val="0"/>
                <w:sz w:val="28"/>
                <w:szCs w:val="32"/>
              </w:rPr>
            </w:pPr>
            <w:r>
              <w:rPr>
                <w:rFonts w:hint="eastAsia" w:ascii="仿宋" w:hAnsi="仿宋" w:eastAsia="仿宋" w:cs="仿宋"/>
                <w:color w:val="000000"/>
                <w:spacing w:val="-20"/>
                <w:kern w:val="0"/>
                <w:sz w:val="28"/>
                <w:szCs w:val="32"/>
              </w:rPr>
              <w:t>1</w:t>
            </w:r>
          </w:p>
        </w:tc>
        <w:tc>
          <w:tcPr>
            <w:tcW w:w="1629" w:type="dxa"/>
            <w:vAlign w:val="center"/>
          </w:tcPr>
          <w:p w14:paraId="09492665">
            <w:pPr>
              <w:keepNext w:val="0"/>
              <w:keepLines w:val="0"/>
              <w:pageBreakBefore w:val="0"/>
              <w:kinsoku/>
              <w:wordWrap/>
              <w:overflowPunct/>
              <w:topLinePunct w:val="0"/>
              <w:autoSpaceDE/>
              <w:autoSpaceDN/>
              <w:bidi w:val="0"/>
              <w:adjustRightInd w:val="0"/>
              <w:snapToGrid w:val="0"/>
              <w:jc w:val="center"/>
              <w:textAlignment w:val="auto"/>
              <w:rPr>
                <w:rFonts w:hint="eastAsia" w:ascii="仿宋" w:hAnsi="仿宋" w:eastAsia="仿宋" w:cs="仿宋"/>
                <w:sz w:val="28"/>
                <w:szCs w:val="32"/>
              </w:rPr>
            </w:pPr>
          </w:p>
        </w:tc>
        <w:tc>
          <w:tcPr>
            <w:tcW w:w="1851" w:type="dxa"/>
            <w:vAlign w:val="center"/>
          </w:tcPr>
          <w:p w14:paraId="71342947">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sz w:val="28"/>
                <w:szCs w:val="32"/>
              </w:rPr>
            </w:pPr>
          </w:p>
        </w:tc>
        <w:tc>
          <w:tcPr>
            <w:tcW w:w="1134" w:type="dxa"/>
            <w:vAlign w:val="center"/>
          </w:tcPr>
          <w:p w14:paraId="50D0A317">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sz w:val="28"/>
                <w:szCs w:val="32"/>
              </w:rPr>
            </w:pPr>
          </w:p>
        </w:tc>
        <w:tc>
          <w:tcPr>
            <w:tcW w:w="1134" w:type="dxa"/>
            <w:vAlign w:val="center"/>
          </w:tcPr>
          <w:p w14:paraId="59465EAB">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sz w:val="28"/>
                <w:szCs w:val="32"/>
              </w:rPr>
            </w:pPr>
          </w:p>
        </w:tc>
        <w:tc>
          <w:tcPr>
            <w:tcW w:w="1418" w:type="dxa"/>
            <w:vAlign w:val="center"/>
          </w:tcPr>
          <w:p w14:paraId="1D2DC89F">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sz w:val="28"/>
                <w:szCs w:val="32"/>
              </w:rPr>
            </w:pPr>
          </w:p>
        </w:tc>
        <w:tc>
          <w:tcPr>
            <w:tcW w:w="1710" w:type="dxa"/>
            <w:vAlign w:val="center"/>
          </w:tcPr>
          <w:p w14:paraId="73CEDA82">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仿宋" w:hAnsi="仿宋" w:eastAsia="仿宋" w:cs="仿宋"/>
                <w:kern w:val="0"/>
                <w:sz w:val="28"/>
                <w:szCs w:val="32"/>
              </w:rPr>
            </w:pPr>
            <w:r>
              <w:rPr>
                <w:rFonts w:hint="eastAsia" w:ascii="仿宋" w:hAnsi="仿宋" w:eastAsia="仿宋" w:cs="仿宋"/>
                <w:kern w:val="0"/>
                <w:sz w:val="28"/>
                <w:szCs w:val="32"/>
              </w:rPr>
              <w:t xml:space="preserve">服务期： </w:t>
            </w:r>
          </w:p>
        </w:tc>
      </w:tr>
      <w:tr w14:paraId="33B82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9" w:type="dxa"/>
            <w:vAlign w:val="center"/>
          </w:tcPr>
          <w:p w14:paraId="160BC40F">
            <w:pPr>
              <w:keepNext w:val="0"/>
              <w:keepLines w:val="0"/>
              <w:pageBreakBefore w:val="0"/>
              <w:widowControl w:val="0"/>
              <w:tabs>
                <w:tab w:val="left" w:pos="480"/>
              </w:tabs>
              <w:kinsoku/>
              <w:wordWrap/>
              <w:overflowPunct/>
              <w:topLinePunct w:val="0"/>
              <w:autoSpaceDE/>
              <w:autoSpaceDN/>
              <w:bidi w:val="0"/>
              <w:adjustRightInd w:val="0"/>
              <w:snapToGrid w:val="0"/>
              <w:textAlignment w:val="auto"/>
              <w:rPr>
                <w:rFonts w:hint="eastAsia" w:ascii="仿宋" w:hAnsi="仿宋" w:eastAsia="仿宋" w:cs="仿宋"/>
                <w:color w:val="000000"/>
                <w:spacing w:val="-20"/>
                <w:kern w:val="0"/>
                <w:sz w:val="24"/>
                <w:szCs w:val="28"/>
              </w:rPr>
            </w:pPr>
            <w:r>
              <w:rPr>
                <w:rFonts w:hint="eastAsia" w:ascii="仿宋" w:hAnsi="仿宋" w:eastAsia="仿宋" w:cs="仿宋"/>
                <w:color w:val="000000"/>
                <w:spacing w:val="-20"/>
                <w:kern w:val="0"/>
                <w:sz w:val="24"/>
                <w:szCs w:val="28"/>
              </w:rPr>
              <w:t>合计</w:t>
            </w:r>
          </w:p>
        </w:tc>
        <w:tc>
          <w:tcPr>
            <w:tcW w:w="8876" w:type="dxa"/>
            <w:gridSpan w:val="6"/>
            <w:vAlign w:val="center"/>
          </w:tcPr>
          <w:p w14:paraId="480166E6">
            <w:pPr>
              <w:keepNext w:val="0"/>
              <w:keepLines w:val="0"/>
              <w:pageBreakBefore w:val="0"/>
              <w:widowControl w:val="0"/>
              <w:tabs>
                <w:tab w:val="left" w:pos="480"/>
              </w:tabs>
              <w:kinsoku/>
              <w:wordWrap/>
              <w:overflowPunct/>
              <w:topLinePunct w:val="0"/>
              <w:autoSpaceDE/>
              <w:autoSpaceDN/>
              <w:bidi w:val="0"/>
              <w:adjustRightInd w:val="0"/>
              <w:snapToGrid w:val="0"/>
              <w:textAlignment w:val="auto"/>
              <w:rPr>
                <w:rFonts w:hint="eastAsia" w:ascii="仿宋" w:hAnsi="仿宋" w:eastAsia="仿宋" w:cs="仿宋"/>
                <w:color w:val="000000"/>
                <w:spacing w:val="-20"/>
                <w:kern w:val="0"/>
                <w:sz w:val="24"/>
                <w:szCs w:val="28"/>
              </w:rPr>
            </w:pPr>
            <w:r>
              <w:rPr>
                <w:rFonts w:hint="eastAsia" w:ascii="仿宋" w:hAnsi="仿宋" w:eastAsia="仿宋" w:cs="仿宋"/>
                <w:color w:val="000000"/>
                <w:spacing w:val="-20"/>
                <w:kern w:val="0"/>
                <w:sz w:val="24"/>
                <w:szCs w:val="28"/>
              </w:rPr>
              <w:t xml:space="preserve">大写金额： </w:t>
            </w:r>
          </w:p>
        </w:tc>
      </w:tr>
    </w:tbl>
    <w:p w14:paraId="11B57FC3">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textAlignment w:val="auto"/>
        <w:rPr>
          <w:rFonts w:hint="eastAsia" w:ascii="仿宋" w:hAnsi="仿宋" w:eastAsia="仿宋" w:cs="仿宋"/>
          <w:b/>
          <w:sz w:val="24"/>
          <w:highlight w:val="none"/>
        </w:rPr>
      </w:pPr>
      <w:r>
        <w:rPr>
          <w:rFonts w:hint="eastAsia" w:ascii="仿宋" w:hAnsi="仿宋" w:eastAsia="仿宋" w:cs="仿宋"/>
          <w:b/>
          <w:sz w:val="24"/>
        </w:rPr>
        <w:t>二、</w:t>
      </w:r>
      <w:r>
        <w:rPr>
          <w:rFonts w:hint="eastAsia" w:ascii="仿宋" w:hAnsi="仿宋" w:eastAsia="仿宋" w:cs="仿宋"/>
          <w:b/>
          <w:sz w:val="24"/>
          <w:highlight w:val="none"/>
        </w:rPr>
        <w:t>合同价款</w:t>
      </w:r>
    </w:p>
    <w:p w14:paraId="4B356881">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240" w:firstLineChars="100"/>
        <w:jc w:val="left"/>
        <w:textAlignment w:val="auto"/>
        <w:rPr>
          <w:rFonts w:hint="eastAsia" w:ascii="仿宋" w:hAnsi="仿宋" w:eastAsia="仿宋" w:cs="仿宋"/>
          <w:sz w:val="24"/>
          <w:highlight w:val="none"/>
        </w:rPr>
      </w:pPr>
      <w:r>
        <w:rPr>
          <w:rFonts w:hint="eastAsia" w:ascii="仿宋" w:hAnsi="仿宋" w:eastAsia="仿宋" w:cs="仿宋"/>
          <w:sz w:val="24"/>
          <w:highlight w:val="none"/>
        </w:rPr>
        <w:t>（一）合同总价款为人民币（大写）</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元）。采用逐年签订合同且逐年支付方式，每一年度合同价款为人民币（大写）</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元）。本合同为第一年度合同。</w:t>
      </w:r>
    </w:p>
    <w:p w14:paraId="0E22896C">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sz w:val="24"/>
          <w:highlight w:val="none"/>
        </w:rPr>
      </w:pPr>
      <w:r>
        <w:rPr>
          <w:rFonts w:hint="eastAsia" w:ascii="仿宋" w:hAnsi="仿宋" w:eastAsia="仿宋" w:cs="仿宋"/>
          <w:sz w:val="24"/>
          <w:highlight w:val="none"/>
        </w:rPr>
        <w:t>（二）合同总价包括：软件服务费和其他费用。</w:t>
      </w:r>
    </w:p>
    <w:p w14:paraId="60C568AC">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240" w:firstLineChars="100"/>
        <w:textAlignment w:val="auto"/>
        <w:rPr>
          <w:rFonts w:hint="eastAsia" w:ascii="仿宋" w:hAnsi="仿宋" w:eastAsia="仿宋" w:cs="仿宋"/>
          <w:sz w:val="24"/>
        </w:rPr>
      </w:pPr>
      <w:r>
        <w:rPr>
          <w:rFonts w:hint="eastAsia" w:ascii="仿宋" w:hAnsi="仿宋" w:eastAsia="仿宋" w:cs="仿宋"/>
          <w:sz w:val="24"/>
        </w:rPr>
        <w:t>（三）合同总价一次性包死，不受市场价格变化因素的影响。</w:t>
      </w:r>
    </w:p>
    <w:p w14:paraId="215C5C19">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textAlignment w:val="auto"/>
        <w:rPr>
          <w:rFonts w:hint="eastAsia" w:ascii="仿宋" w:hAnsi="仿宋" w:eastAsia="仿宋" w:cs="仿宋"/>
          <w:b/>
          <w:sz w:val="24"/>
        </w:rPr>
      </w:pPr>
      <w:r>
        <w:rPr>
          <w:rFonts w:hint="eastAsia" w:ascii="仿宋" w:hAnsi="仿宋" w:eastAsia="仿宋" w:cs="仿宋"/>
          <w:b/>
          <w:sz w:val="24"/>
        </w:rPr>
        <w:t>三、款项结算</w:t>
      </w:r>
    </w:p>
    <w:p w14:paraId="22F4E78B">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（一）合同签订后，服务供应商须按其响应文件中响应的功能及质量标准提供相关服务，正常使用1个月后，提供全额合规发票30日内，甲方支付</w:t>
      </w:r>
      <w:r>
        <w:rPr>
          <w:rFonts w:hint="eastAsia" w:ascii="仿宋" w:hAnsi="仿宋" w:eastAsia="仿宋" w:cs="仿宋"/>
          <w:sz w:val="24"/>
          <w:highlight w:val="none"/>
          <w:lang w:eastAsia="zh-CN"/>
        </w:rPr>
        <w:t>第一年度</w:t>
      </w:r>
      <w:r>
        <w:rPr>
          <w:rFonts w:hint="eastAsia" w:ascii="仿宋" w:hAnsi="仿宋" w:eastAsia="仿宋" w:cs="仿宋"/>
          <w:sz w:val="24"/>
          <w:highlight w:val="none"/>
        </w:rPr>
        <w:t>合同总价款的90%，即人民币（大写）</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w:t>
      </w:r>
    </w:p>
    <w:p w14:paraId="3FDBFED8">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（二）留</w:t>
      </w:r>
      <w:r>
        <w:rPr>
          <w:rFonts w:hint="eastAsia" w:ascii="仿宋" w:hAnsi="仿宋" w:eastAsia="仿宋" w:cs="仿宋"/>
          <w:sz w:val="24"/>
          <w:highlight w:val="none"/>
          <w:lang w:eastAsia="zh-CN"/>
        </w:rPr>
        <w:t>第一年度</w:t>
      </w:r>
      <w:r>
        <w:rPr>
          <w:rFonts w:hint="eastAsia" w:ascii="仿宋" w:hAnsi="仿宋" w:eastAsia="仿宋" w:cs="仿宋"/>
          <w:sz w:val="24"/>
          <w:highlight w:val="none"/>
        </w:rPr>
        <w:t>合同总价的10%作为尾款。合同执行结束，甲方30日内一次性无息支付，即人民币（大写）</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w:t>
      </w:r>
    </w:p>
    <w:p w14:paraId="7E1E5312">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（三）支付方式：银行转账。</w:t>
      </w:r>
    </w:p>
    <w:p w14:paraId="608C6F96">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（四）结算方式：乙方开具发票（按合同总价直开甲方），持成交通知书、服务合同、发票，与甲方结算。若乙方届时未提供全额合规发票，甲方付款期限顺延，且不承担任何责任。</w:t>
      </w:r>
    </w:p>
    <w:p w14:paraId="14D1862D">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验收合格后填写政府采购项目验收单（一式伍份）、发票（按合同总价直开甲方），乙方持成交通知书、供货合同、发票、政府采购项目验收单，与采购人进行结算。</w:t>
      </w:r>
    </w:p>
    <w:p w14:paraId="3D5A9DB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sz w:val="24"/>
          <w:highlight w:val="none"/>
        </w:rPr>
      </w:pPr>
      <w:r>
        <w:rPr>
          <w:rFonts w:hint="eastAsia" w:ascii="仿宋" w:hAnsi="仿宋" w:eastAsia="仿宋" w:cs="仿宋"/>
          <w:b/>
          <w:sz w:val="24"/>
        </w:rPr>
        <w:t>四、服务</w:t>
      </w:r>
      <w:r>
        <w:rPr>
          <w:rFonts w:hint="eastAsia" w:ascii="仿宋" w:hAnsi="仿宋" w:eastAsia="仿宋" w:cs="仿宋"/>
          <w:b/>
          <w:sz w:val="24"/>
          <w:highlight w:val="none"/>
        </w:rPr>
        <w:t>条件：</w:t>
      </w:r>
    </w:p>
    <w:p w14:paraId="07CC4D3C">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（一）交货地点：西安市第三医院指定地点。</w:t>
      </w:r>
    </w:p>
    <w:p w14:paraId="270E11BF">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（二）交货期：合同签订后</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个工作日内完成账号开通，并交付采购人验收合格,不得延期。</w:t>
      </w:r>
    </w:p>
    <w:p w14:paraId="3567330A">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textAlignment w:val="auto"/>
        <w:rPr>
          <w:rFonts w:hint="eastAsia" w:ascii="仿宋" w:hAnsi="仿宋" w:eastAsia="仿宋" w:cs="仿宋"/>
          <w:b/>
          <w:sz w:val="24"/>
          <w:highlight w:val="none"/>
        </w:rPr>
      </w:pPr>
      <w:r>
        <w:rPr>
          <w:rFonts w:hint="eastAsia" w:ascii="仿宋" w:hAnsi="仿宋" w:eastAsia="仿宋" w:cs="仿宋"/>
          <w:b/>
          <w:sz w:val="24"/>
          <w:highlight w:val="none"/>
        </w:rPr>
        <w:t xml:space="preserve">  五、双方的权利和义务</w:t>
      </w:r>
    </w:p>
    <w:p w14:paraId="24360C9F">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24"/>
        </w:rPr>
      </w:pPr>
      <w:r>
        <w:rPr>
          <w:rFonts w:hint="eastAsia" w:ascii="仿宋" w:hAnsi="仿宋" w:eastAsia="仿宋" w:cs="仿宋"/>
          <w:sz w:val="24"/>
        </w:rPr>
        <w:t>（一）甲方的权利和义务</w:t>
      </w:r>
    </w:p>
    <w:p w14:paraId="35415E3C">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1、甲方应配合乙方的工作，按时提供相应的数据、信息和资料，并保证其正确性、真实性。</w:t>
      </w:r>
    </w:p>
    <w:p w14:paraId="3C653092">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2、项目实施过程中，甲方有权利不定时、不定方式对安装过程进行监控，如发现问题，乙方应立即整改，否则甲方有权利解除合同，甲方将不对乙方进行任何赔偿，由此对甲方造成的损失由乙方负责。</w:t>
      </w:r>
    </w:p>
    <w:p w14:paraId="37DC95C3">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24"/>
        </w:rPr>
      </w:pPr>
      <w:r>
        <w:rPr>
          <w:rFonts w:hint="eastAsia" w:ascii="仿宋" w:hAnsi="仿宋" w:eastAsia="仿宋" w:cs="仿宋"/>
          <w:sz w:val="24"/>
        </w:rPr>
        <w:t>（二）乙方的权利和义务</w:t>
      </w:r>
    </w:p>
    <w:p w14:paraId="33766840">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1、乙方保证在项目实施过程中甲方的网络、其他相关软件不受影响，可正常运行。</w:t>
      </w:r>
    </w:p>
    <w:p w14:paraId="2903CC7D">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2、乙方保证所提供的服务符合甲方总体要求，技术服务达标、配置合理，满足磋商文件中所有功能及技术要求。</w:t>
      </w:r>
    </w:p>
    <w:p w14:paraId="5AB5A810">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3、乙方应向甲方提交项目实施过程中的所有资料，以便甲方人员日后管理和维护。</w:t>
      </w:r>
    </w:p>
    <w:p w14:paraId="26351F80">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textAlignment w:val="auto"/>
        <w:rPr>
          <w:rFonts w:hint="eastAsia" w:ascii="仿宋" w:hAnsi="仿宋" w:eastAsia="仿宋" w:cs="仿宋"/>
          <w:b/>
          <w:sz w:val="24"/>
        </w:rPr>
      </w:pPr>
      <w:r>
        <w:rPr>
          <w:rFonts w:hint="eastAsia" w:ascii="仿宋" w:hAnsi="仿宋" w:eastAsia="仿宋" w:cs="仿宋"/>
          <w:b/>
          <w:sz w:val="24"/>
        </w:rPr>
        <w:t>六、质量保证</w:t>
      </w:r>
    </w:p>
    <w:p w14:paraId="09C22F86">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120" w:firstLineChars="50"/>
        <w:textAlignment w:val="auto"/>
        <w:rPr>
          <w:rFonts w:hint="eastAsia" w:ascii="仿宋" w:hAnsi="仿宋" w:eastAsia="仿宋" w:cs="仿宋"/>
          <w:sz w:val="24"/>
        </w:rPr>
      </w:pPr>
      <w:r>
        <w:rPr>
          <w:rFonts w:hint="eastAsia" w:ascii="仿宋" w:hAnsi="仿宋" w:eastAsia="仿宋" w:cs="仿宋"/>
          <w:sz w:val="24"/>
        </w:rPr>
        <w:t>乙方所供货物必须执行下列条款：</w:t>
      </w:r>
    </w:p>
    <w:p w14:paraId="687AE6BC">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（一）保证技术指标先进、质量性能可靠、进货渠道正常，配置合理，全面满足磋商文件要求。</w:t>
      </w:r>
    </w:p>
    <w:p w14:paraId="514D83F1">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（二）符合国家有关规范要求，确保达到最佳运行状态，对于由于产品设计、工艺或材料的缺陷而产生的质量问题负责。</w:t>
      </w:r>
    </w:p>
    <w:p w14:paraId="4524A2E8">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（三）具有良好的外观，适合安装场所的使用。</w:t>
      </w:r>
    </w:p>
    <w:p w14:paraId="6A547D96">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textAlignment w:val="auto"/>
        <w:rPr>
          <w:rFonts w:hint="eastAsia" w:ascii="仿宋" w:hAnsi="仿宋" w:eastAsia="仿宋" w:cs="仿宋"/>
          <w:b/>
          <w:sz w:val="24"/>
        </w:rPr>
      </w:pPr>
      <w:r>
        <w:rPr>
          <w:rFonts w:hint="eastAsia" w:ascii="仿宋" w:hAnsi="仿宋" w:eastAsia="仿宋" w:cs="仿宋"/>
          <w:b/>
          <w:sz w:val="24"/>
        </w:rPr>
        <w:t>七、安装、调试和验收</w:t>
      </w:r>
    </w:p>
    <w:p w14:paraId="52999756">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rPr>
      </w:pPr>
      <w:r>
        <w:rPr>
          <w:rFonts w:hint="eastAsia" w:ascii="仿宋" w:hAnsi="仿宋" w:eastAsia="仿宋" w:cs="仿宋"/>
          <w:sz w:val="24"/>
        </w:rPr>
        <w:t>（一）安装调试：乙方应配合甲方的时限要求，负责在现场对产品进行安装、调试和试运行，直至验收合格。乙方应提供全部安装、调试过程中的资料。试运行应当在甲方的监督下进行。乙方须向甲方提供管理人员及现场施工人员身份证复印件备案。</w:t>
      </w:r>
    </w:p>
    <w:p w14:paraId="43164687">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rPr>
      </w:pPr>
      <w:r>
        <w:rPr>
          <w:rFonts w:hint="eastAsia" w:ascii="仿宋" w:hAnsi="仿宋" w:eastAsia="仿宋" w:cs="仿宋"/>
          <w:sz w:val="24"/>
        </w:rPr>
        <w:t>（二）现场验收：软件安装后，在乙方和甲方相关负责人双方同时在场的情况下，进行技术指标、功能、模块验收。</w:t>
      </w:r>
    </w:p>
    <w:p w14:paraId="063CADDF">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b/>
          <w:sz w:val="24"/>
        </w:rPr>
      </w:pPr>
      <w:r>
        <w:rPr>
          <w:rFonts w:hint="eastAsia" w:ascii="仿宋" w:hAnsi="仿宋" w:eastAsia="仿宋" w:cs="仿宋"/>
          <w:sz w:val="24"/>
        </w:rPr>
        <w:t>（三）最终验收：甲方应当于乙方实施现场安装完毕后5个工作日内安排产品验收。甲方在验收时，如发现产品与合同所述不符，应自发现不符之日起，在5个工作日内向乙方提出书面异议，乙方需及时响应回复甲方。</w:t>
      </w:r>
    </w:p>
    <w:p w14:paraId="7D084FBA">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rPr>
      </w:pPr>
      <w:r>
        <w:rPr>
          <w:rFonts w:hint="eastAsia" w:ascii="仿宋" w:hAnsi="仿宋" w:eastAsia="仿宋" w:cs="仿宋"/>
          <w:sz w:val="24"/>
        </w:rPr>
        <w:t>（四）验收依据</w:t>
      </w:r>
    </w:p>
    <w:p w14:paraId="4FDAAA97">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rPr>
      </w:pPr>
      <w:r>
        <w:rPr>
          <w:rFonts w:hint="eastAsia" w:ascii="仿宋" w:hAnsi="仿宋" w:eastAsia="仿宋" w:cs="仿宋"/>
          <w:sz w:val="24"/>
        </w:rPr>
        <w:t>1、磋商文件、响应文件、澄清表（函）；</w:t>
      </w:r>
    </w:p>
    <w:p w14:paraId="439CB897">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rPr>
      </w:pPr>
      <w:r>
        <w:rPr>
          <w:rFonts w:hint="eastAsia" w:ascii="仿宋" w:hAnsi="仿宋" w:eastAsia="仿宋" w:cs="仿宋"/>
          <w:sz w:val="24"/>
        </w:rPr>
        <w:t>2、本合同及附件文本；</w:t>
      </w:r>
    </w:p>
    <w:p w14:paraId="15965348">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b/>
          <w:sz w:val="24"/>
        </w:rPr>
      </w:pPr>
      <w:r>
        <w:rPr>
          <w:rFonts w:hint="eastAsia" w:ascii="仿宋" w:hAnsi="仿宋" w:eastAsia="仿宋" w:cs="仿宋"/>
          <w:sz w:val="24"/>
        </w:rPr>
        <w:t>3、合同签订时国家及行业现行的标准和技术规范。</w:t>
      </w:r>
    </w:p>
    <w:p w14:paraId="4D1F3347">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rPr>
      </w:pPr>
      <w:r>
        <w:rPr>
          <w:rFonts w:hint="eastAsia" w:ascii="仿宋" w:hAnsi="仿宋" w:eastAsia="仿宋" w:cs="仿宋"/>
          <w:sz w:val="24"/>
        </w:rPr>
        <w:t>（五）乙方应向甲方提交项目实施过程中的所有资料，以便甲方人员日后管理和维护。</w:t>
      </w:r>
    </w:p>
    <w:p w14:paraId="741ABE6E">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b/>
          <w:sz w:val="24"/>
        </w:rPr>
      </w:pPr>
      <w:r>
        <w:rPr>
          <w:rFonts w:hint="eastAsia" w:ascii="仿宋" w:hAnsi="仿宋" w:eastAsia="仿宋" w:cs="仿宋"/>
          <w:sz w:val="24"/>
        </w:rPr>
        <w:t>（六）在得到乙方验收要求通知后，甲方应积极准备验收，验收合格后出具验收报告。</w:t>
      </w:r>
    </w:p>
    <w:p w14:paraId="422A1FBE">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textAlignment w:val="auto"/>
        <w:rPr>
          <w:rFonts w:hint="eastAsia" w:ascii="仿宋" w:hAnsi="仿宋" w:eastAsia="仿宋" w:cs="仿宋"/>
          <w:b/>
          <w:sz w:val="24"/>
        </w:rPr>
      </w:pPr>
      <w:r>
        <w:rPr>
          <w:rFonts w:hint="eastAsia" w:ascii="仿宋" w:hAnsi="仿宋" w:eastAsia="仿宋" w:cs="仿宋"/>
          <w:b/>
          <w:sz w:val="24"/>
        </w:rPr>
        <w:t>八、知识产权保护和保密条款</w:t>
      </w:r>
    </w:p>
    <w:p w14:paraId="2BCBB18F">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rPr>
      </w:pPr>
      <w:r>
        <w:rPr>
          <w:rFonts w:hint="eastAsia" w:ascii="仿宋" w:hAnsi="仿宋" w:eastAsia="仿宋" w:cs="仿宋"/>
          <w:sz w:val="24"/>
        </w:rPr>
        <w:t>（一）甲方承诺严格尊重乙方对本软件所拥有的知识产权保护。</w:t>
      </w:r>
    </w:p>
    <w:p w14:paraId="0CB8D48A">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rPr>
      </w:pPr>
      <w:r>
        <w:rPr>
          <w:rFonts w:hint="eastAsia" w:ascii="仿宋" w:hAnsi="仿宋" w:eastAsia="仿宋" w:cs="仿宋"/>
          <w:sz w:val="24"/>
        </w:rPr>
        <w:t>甲方对本软件（包含相关的任何资料或数据）予以保密，不得对软件的代码进行跟踪、调试、破解，不得复制，也不得泄漏或许可他人使用。甲方未经乙方事先书面同意，不得向任何第三方泄露因购买软件从乙方所获得的商业秘密的全部或部分内容。</w:t>
      </w:r>
    </w:p>
    <w:p w14:paraId="2798B401">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rPr>
      </w:pPr>
      <w:r>
        <w:rPr>
          <w:rFonts w:hint="eastAsia" w:ascii="仿宋" w:hAnsi="仿宋" w:eastAsia="仿宋" w:cs="仿宋"/>
          <w:sz w:val="24"/>
        </w:rPr>
        <w:t>（二）双方对本次合作提供的用户需求书、合同及其附件、实施计划、附件中规定的服务内容开展工作后所产生的相关文档，以及在软件开发过程中所提供的附加材料及商务信息，负有保密责任，未经书面认可，不得将以上内容以文字或其他传播媒介方式提供给任何第三方。</w:t>
      </w:r>
    </w:p>
    <w:p w14:paraId="57E57A56">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b/>
          <w:sz w:val="24"/>
        </w:rPr>
      </w:pPr>
      <w:r>
        <w:rPr>
          <w:rFonts w:hint="eastAsia" w:ascii="仿宋" w:hAnsi="仿宋" w:eastAsia="仿宋" w:cs="仿宋"/>
          <w:sz w:val="24"/>
        </w:rPr>
        <w:t>（三）乙方未经甲方许可不得将系统的所有相关数据、资料泄露给任何第三方。</w:t>
      </w:r>
    </w:p>
    <w:p w14:paraId="094DE36D">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textAlignment w:val="auto"/>
        <w:rPr>
          <w:rFonts w:hint="eastAsia" w:ascii="仿宋" w:hAnsi="仿宋" w:eastAsia="仿宋" w:cs="仿宋"/>
          <w:b/>
          <w:sz w:val="24"/>
        </w:rPr>
      </w:pPr>
      <w:r>
        <w:rPr>
          <w:rFonts w:hint="eastAsia" w:ascii="仿宋" w:hAnsi="仿宋" w:eastAsia="仿宋" w:cs="仿宋"/>
          <w:b/>
          <w:sz w:val="24"/>
        </w:rPr>
        <w:t>九、技术与服务</w:t>
      </w:r>
    </w:p>
    <w:p w14:paraId="0F27419A">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rPr>
      </w:pPr>
      <w:r>
        <w:rPr>
          <w:rFonts w:hint="eastAsia" w:ascii="仿宋" w:hAnsi="仿宋" w:eastAsia="仿宋" w:cs="仿宋"/>
          <w:sz w:val="24"/>
        </w:rPr>
        <w:t>（一）技术资料</w:t>
      </w:r>
    </w:p>
    <w:p w14:paraId="0B08EBC7">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rPr>
      </w:pPr>
      <w:r>
        <w:rPr>
          <w:rFonts w:hint="eastAsia" w:ascii="仿宋" w:hAnsi="仿宋" w:eastAsia="仿宋" w:cs="仿宋"/>
          <w:sz w:val="24"/>
        </w:rPr>
        <w:t>1、软件维护手册</w:t>
      </w:r>
    </w:p>
    <w:p w14:paraId="5C9A2B62">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rPr>
      </w:pPr>
      <w:r>
        <w:rPr>
          <w:rFonts w:hint="eastAsia" w:ascii="仿宋" w:hAnsi="仿宋" w:eastAsia="仿宋" w:cs="仿宋"/>
          <w:sz w:val="24"/>
        </w:rPr>
        <w:t>2、用户操作手册（中文）</w:t>
      </w:r>
    </w:p>
    <w:p w14:paraId="0D30EA9F">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rPr>
      </w:pPr>
      <w:r>
        <w:rPr>
          <w:rFonts w:hint="eastAsia" w:ascii="仿宋" w:hAnsi="仿宋" w:eastAsia="仿宋" w:cs="仿宋"/>
          <w:sz w:val="24"/>
        </w:rPr>
        <w:t>3、产品操作说明书</w:t>
      </w:r>
    </w:p>
    <w:p w14:paraId="2470A35E">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highlight w:val="none"/>
        </w:rPr>
      </w:pPr>
      <w:r>
        <w:rPr>
          <w:rFonts w:hint="eastAsia" w:ascii="仿宋" w:hAnsi="仿宋" w:eastAsia="仿宋" w:cs="仿宋"/>
          <w:sz w:val="24"/>
        </w:rPr>
        <w:t>（二）培训：乙方须在设备和系统安装调试完成后对甲方操作人员进行完整使用、维护等培训，是</w:t>
      </w:r>
      <w:r>
        <w:rPr>
          <w:rFonts w:hint="eastAsia" w:ascii="仿宋" w:hAnsi="仿宋" w:eastAsia="仿宋" w:cs="仿宋"/>
          <w:sz w:val="24"/>
          <w:highlight w:val="none"/>
        </w:rPr>
        <w:t>否完成培训视为货物验收必备条件之一；</w:t>
      </w:r>
    </w:p>
    <w:p w14:paraId="39951116">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b/>
          <w:sz w:val="24"/>
          <w:highlight w:val="none"/>
        </w:rPr>
      </w:pPr>
      <w:r>
        <w:rPr>
          <w:rFonts w:hint="eastAsia" w:ascii="仿宋" w:hAnsi="仿宋" w:eastAsia="仿宋" w:cs="仿宋"/>
          <w:sz w:val="24"/>
          <w:highlight w:val="none"/>
        </w:rPr>
        <w:t>（三）服务承诺：合同和货物的相关文件为准。</w:t>
      </w:r>
    </w:p>
    <w:p w14:paraId="194926C9">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textAlignment w:val="auto"/>
        <w:rPr>
          <w:rFonts w:hint="eastAsia" w:ascii="仿宋" w:hAnsi="仿宋" w:eastAsia="仿宋" w:cs="仿宋"/>
          <w:b/>
          <w:sz w:val="24"/>
        </w:rPr>
      </w:pPr>
      <w:r>
        <w:rPr>
          <w:rFonts w:hint="eastAsia" w:ascii="仿宋" w:hAnsi="仿宋" w:eastAsia="仿宋" w:cs="仿宋"/>
          <w:b/>
          <w:sz w:val="24"/>
        </w:rPr>
        <w:t>十、违约责任</w:t>
      </w:r>
    </w:p>
    <w:p w14:paraId="42339F32">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rPr>
      </w:pPr>
      <w:r>
        <w:rPr>
          <w:rFonts w:hint="eastAsia" w:ascii="仿宋" w:hAnsi="仿宋" w:eastAsia="仿宋" w:cs="仿宋"/>
          <w:sz w:val="24"/>
        </w:rPr>
        <w:t>（一）按《政府采购法》、《民法典》中的相关条款执行。</w:t>
      </w:r>
    </w:p>
    <w:p w14:paraId="08C6E4BE">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b/>
          <w:sz w:val="24"/>
        </w:rPr>
      </w:pPr>
      <w:r>
        <w:rPr>
          <w:rFonts w:hint="eastAsia" w:ascii="仿宋" w:hAnsi="仿宋" w:eastAsia="仿宋" w:cs="仿宋"/>
          <w:sz w:val="24"/>
        </w:rPr>
        <w:t>（二）未按合同要求提供货物或质量不能满足技术要求，在约定的条件下，乙方必须无条件更换，提高技术，完善质量，否则，甲方有权解除合同，解除合同书面通知书到达乙方之日视为合同已解除，同时乙方应承担合同总价款30%的违约金。</w:t>
      </w:r>
    </w:p>
    <w:p w14:paraId="20A83CD6">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textAlignment w:val="auto"/>
        <w:rPr>
          <w:rFonts w:hint="eastAsia" w:ascii="仿宋" w:hAnsi="仿宋" w:eastAsia="仿宋" w:cs="仿宋"/>
          <w:b/>
          <w:sz w:val="24"/>
        </w:rPr>
      </w:pPr>
      <w:r>
        <w:rPr>
          <w:rFonts w:hint="eastAsia" w:ascii="仿宋" w:hAnsi="仿宋" w:eastAsia="仿宋" w:cs="仿宋"/>
          <w:b/>
          <w:sz w:val="24"/>
        </w:rPr>
        <w:t>十一、合同争议解决的方式</w:t>
      </w:r>
    </w:p>
    <w:p w14:paraId="565AEC6C">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b/>
          <w:sz w:val="24"/>
        </w:rPr>
      </w:pPr>
      <w:r>
        <w:rPr>
          <w:rFonts w:hint="eastAsia" w:ascii="仿宋" w:hAnsi="仿宋" w:eastAsia="仿宋" w:cs="仿宋"/>
          <w:sz w:val="24"/>
        </w:rPr>
        <w:t>本合同在履行过程中发生的争议，由甲、乙双方当事人协商解决，协商不成的依法向甲方所在地人民法院起诉。</w:t>
      </w:r>
    </w:p>
    <w:p w14:paraId="34C670FD">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textAlignment w:val="auto"/>
        <w:rPr>
          <w:rFonts w:hint="eastAsia" w:ascii="仿宋" w:hAnsi="仿宋" w:eastAsia="仿宋" w:cs="仿宋"/>
          <w:b/>
          <w:sz w:val="24"/>
        </w:rPr>
      </w:pPr>
      <w:r>
        <w:rPr>
          <w:rFonts w:hint="eastAsia" w:ascii="仿宋" w:hAnsi="仿宋" w:eastAsia="仿宋" w:cs="仿宋"/>
          <w:b/>
          <w:sz w:val="24"/>
        </w:rPr>
        <w:t>十二、合同生效</w:t>
      </w:r>
    </w:p>
    <w:p w14:paraId="07534860">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2" w:firstLineChars="250"/>
        <w:textAlignment w:val="auto"/>
        <w:rPr>
          <w:rFonts w:hint="eastAsia" w:ascii="仿宋" w:hAnsi="仿宋" w:eastAsia="仿宋" w:cs="仿宋"/>
          <w:b/>
          <w:sz w:val="24"/>
        </w:rPr>
      </w:pPr>
      <w:r>
        <w:rPr>
          <w:rFonts w:hint="eastAsia" w:ascii="仿宋" w:hAnsi="仿宋" w:eastAsia="仿宋" w:cs="仿宋"/>
          <w:b/>
          <w:sz w:val="24"/>
        </w:rPr>
        <w:t xml:space="preserve"> </w:t>
      </w:r>
      <w:r>
        <w:rPr>
          <w:rFonts w:hint="eastAsia" w:ascii="仿宋" w:hAnsi="仿宋" w:eastAsia="仿宋" w:cs="仿宋"/>
          <w:sz w:val="24"/>
        </w:rPr>
        <w:t>本合同一式</w:t>
      </w:r>
      <w:r>
        <w:rPr>
          <w:rFonts w:hint="eastAsia" w:ascii="仿宋" w:hAnsi="仿宋" w:eastAsia="仿宋" w:cs="仿宋"/>
          <w:sz w:val="24"/>
          <w:u w:val="single"/>
        </w:rPr>
        <w:t xml:space="preserve">    </w:t>
      </w:r>
      <w:r>
        <w:rPr>
          <w:rFonts w:hint="eastAsia" w:ascii="仿宋" w:hAnsi="仿宋" w:eastAsia="仿宋" w:cs="仿宋"/>
          <w:sz w:val="24"/>
        </w:rPr>
        <w:t>份，甲方持</w:t>
      </w:r>
      <w:r>
        <w:rPr>
          <w:rFonts w:hint="eastAsia" w:ascii="仿宋" w:hAnsi="仿宋" w:eastAsia="仿宋" w:cs="仿宋"/>
          <w:sz w:val="24"/>
          <w:u w:val="single"/>
        </w:rPr>
        <w:t xml:space="preserve">    </w:t>
      </w:r>
      <w:r>
        <w:rPr>
          <w:rFonts w:hint="eastAsia" w:ascii="仿宋" w:hAnsi="仿宋" w:eastAsia="仿宋" w:cs="仿宋"/>
          <w:sz w:val="24"/>
        </w:rPr>
        <w:t>份，乙方持</w:t>
      </w:r>
      <w:r>
        <w:rPr>
          <w:rFonts w:hint="eastAsia" w:ascii="仿宋" w:hAnsi="仿宋" w:eastAsia="仿宋" w:cs="仿宋"/>
          <w:sz w:val="24"/>
          <w:u w:val="single"/>
        </w:rPr>
        <w:t xml:space="preserve">    </w:t>
      </w:r>
      <w:r>
        <w:rPr>
          <w:rFonts w:hint="eastAsia" w:ascii="仿宋" w:hAnsi="仿宋" w:eastAsia="仿宋" w:cs="仿宋"/>
          <w:sz w:val="24"/>
        </w:rPr>
        <w:t>份。本合同自甲方、乙方签字盖章之日起生效。</w:t>
      </w:r>
    </w:p>
    <w:p w14:paraId="25E16559">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textAlignment w:val="auto"/>
        <w:rPr>
          <w:rFonts w:hint="eastAsia" w:ascii="仿宋" w:hAnsi="仿宋" w:eastAsia="仿宋" w:cs="仿宋"/>
          <w:b/>
          <w:sz w:val="24"/>
        </w:rPr>
      </w:pPr>
      <w:r>
        <w:rPr>
          <w:rFonts w:hint="eastAsia" w:ascii="仿宋" w:hAnsi="仿宋" w:eastAsia="仿宋" w:cs="仿宋"/>
          <w:b/>
          <w:sz w:val="24"/>
        </w:rPr>
        <w:t>十三、其他事项</w:t>
      </w:r>
    </w:p>
    <w:p w14:paraId="3F05F430">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rPr>
      </w:pPr>
      <w:r>
        <w:rPr>
          <w:rFonts w:hint="eastAsia" w:ascii="仿宋" w:hAnsi="仿宋" w:eastAsia="仿宋" w:cs="仿宋"/>
          <w:sz w:val="24"/>
        </w:rPr>
        <w:t>（一）合同未尽事宜，由甲、乙双方协商后，签订补充协议，与本合同具有同等法律效力。补充协议与本协议不一致的，以补充协议为准。</w:t>
      </w:r>
    </w:p>
    <w:p w14:paraId="06B7017E">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rPr>
      </w:pPr>
      <w:r>
        <w:rPr>
          <w:rFonts w:hint="eastAsia" w:ascii="仿宋" w:hAnsi="仿宋" w:eastAsia="仿宋" w:cs="仿宋"/>
          <w:sz w:val="24"/>
        </w:rPr>
        <w:t>（二）合同一经签订，不得擅自变更、中止或终止合同。对确需变更、调整或中止、终止合同的，有法律规定的按照法律规定，除合同约定外，由甲乙双方再行协商，协商一致前，原合同或条款继续履行。</w:t>
      </w:r>
    </w:p>
    <w:p w14:paraId="1E5D4626">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rPr>
      </w:pPr>
      <w:r>
        <w:rPr>
          <w:rFonts w:hint="eastAsia" w:ascii="仿宋" w:hAnsi="仿宋" w:eastAsia="仿宋" w:cs="仿宋"/>
          <w:sz w:val="24"/>
        </w:rPr>
        <w:t>（三）本合同按照中华人民共和国的现行法律进行解释。</w:t>
      </w:r>
    </w:p>
    <w:p w14:paraId="42EFBFE8">
      <w:pPr>
        <w:keepNext w:val="0"/>
        <w:keepLines w:val="0"/>
        <w:pageBreakBefore w:val="0"/>
        <w:widowControl w:val="0"/>
        <w:tabs>
          <w:tab w:val="left" w:pos="480"/>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24"/>
        </w:rPr>
      </w:pPr>
      <w:r>
        <w:rPr>
          <w:rFonts w:hint="eastAsia" w:ascii="仿宋" w:hAnsi="仿宋" w:eastAsia="仿宋" w:cs="仿宋"/>
          <w:sz w:val="24"/>
        </w:rPr>
        <w:t>（以下无正文）</w:t>
      </w:r>
    </w:p>
    <w:p w14:paraId="5F4B4D82">
      <w:pPr>
        <w:tabs>
          <w:tab w:val="left" w:pos="480"/>
        </w:tabs>
        <w:spacing w:line="360" w:lineRule="auto"/>
        <w:rPr>
          <w:rFonts w:hint="eastAsia" w:ascii="仿宋" w:hAnsi="仿宋" w:eastAsia="仿宋" w:cs="仿宋"/>
          <w:sz w:val="24"/>
        </w:rPr>
      </w:pPr>
    </w:p>
    <w:tbl>
      <w:tblPr>
        <w:tblStyle w:val="19"/>
        <w:tblW w:w="93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54"/>
        <w:gridCol w:w="4533"/>
      </w:tblGrid>
      <w:tr w14:paraId="4981E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54" w:type="dxa"/>
            <w:vAlign w:val="center"/>
          </w:tcPr>
          <w:p w14:paraId="6F625DD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sz w:val="24"/>
                <w:szCs w:val="32"/>
              </w:rPr>
            </w:pPr>
            <w:r>
              <w:rPr>
                <w:rFonts w:hint="eastAsia" w:ascii="仿宋" w:hAnsi="仿宋" w:eastAsia="仿宋" w:cs="仿宋"/>
                <w:sz w:val="24"/>
                <w:szCs w:val="32"/>
              </w:rPr>
              <w:t>甲  方</w:t>
            </w:r>
          </w:p>
        </w:tc>
        <w:tc>
          <w:tcPr>
            <w:tcW w:w="4533" w:type="dxa"/>
            <w:vAlign w:val="center"/>
          </w:tcPr>
          <w:p w14:paraId="63A7307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sz w:val="24"/>
                <w:szCs w:val="32"/>
              </w:rPr>
            </w:pPr>
            <w:r>
              <w:rPr>
                <w:rFonts w:hint="eastAsia" w:ascii="仿宋" w:hAnsi="仿宋" w:eastAsia="仿宋" w:cs="仿宋"/>
                <w:sz w:val="24"/>
                <w:szCs w:val="32"/>
              </w:rPr>
              <w:t>乙  方</w:t>
            </w:r>
          </w:p>
        </w:tc>
      </w:tr>
      <w:tr w14:paraId="2DF9A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jc w:val="center"/>
        </w:trPr>
        <w:tc>
          <w:tcPr>
            <w:tcW w:w="4854" w:type="dxa"/>
            <w:vAlign w:val="center"/>
          </w:tcPr>
          <w:p w14:paraId="385C18B3">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sz w:val="24"/>
                <w:szCs w:val="32"/>
              </w:rPr>
            </w:pPr>
            <w:r>
              <w:rPr>
                <w:rFonts w:hint="eastAsia" w:ascii="仿宋" w:hAnsi="仿宋" w:eastAsia="仿宋" w:cs="仿宋"/>
                <w:sz w:val="24"/>
                <w:szCs w:val="32"/>
              </w:rPr>
              <w:t>甲方（公章）</w:t>
            </w:r>
          </w:p>
        </w:tc>
        <w:tc>
          <w:tcPr>
            <w:tcW w:w="4533" w:type="dxa"/>
            <w:vAlign w:val="center"/>
          </w:tcPr>
          <w:p w14:paraId="7C1DE71C">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sz w:val="24"/>
                <w:szCs w:val="32"/>
              </w:rPr>
            </w:pPr>
            <w:r>
              <w:rPr>
                <w:rFonts w:hint="eastAsia" w:ascii="仿宋" w:hAnsi="仿宋" w:eastAsia="仿宋" w:cs="仿宋"/>
                <w:sz w:val="24"/>
                <w:szCs w:val="32"/>
              </w:rPr>
              <w:t>乙方（公章）</w:t>
            </w:r>
          </w:p>
        </w:tc>
      </w:tr>
      <w:tr w14:paraId="74F0A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54" w:type="dxa"/>
            <w:vAlign w:val="center"/>
          </w:tcPr>
          <w:p w14:paraId="476E7E69">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sz w:val="24"/>
                <w:szCs w:val="32"/>
              </w:rPr>
            </w:pPr>
            <w:r>
              <w:rPr>
                <w:rFonts w:hint="eastAsia" w:ascii="仿宋" w:hAnsi="仿宋" w:eastAsia="仿宋" w:cs="仿宋"/>
                <w:sz w:val="24"/>
                <w:szCs w:val="32"/>
              </w:rPr>
              <w:t>地址：西安市未央区凤城三路东段10号</w:t>
            </w:r>
          </w:p>
        </w:tc>
        <w:tc>
          <w:tcPr>
            <w:tcW w:w="4533" w:type="dxa"/>
            <w:vAlign w:val="center"/>
          </w:tcPr>
          <w:p w14:paraId="58B14BEA">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sz w:val="24"/>
                <w:szCs w:val="32"/>
              </w:rPr>
            </w:pPr>
            <w:r>
              <w:rPr>
                <w:rFonts w:hint="eastAsia" w:ascii="仿宋" w:hAnsi="仿宋" w:eastAsia="仿宋" w:cs="仿宋"/>
                <w:sz w:val="24"/>
                <w:szCs w:val="32"/>
              </w:rPr>
              <w:t xml:space="preserve">地址： </w:t>
            </w:r>
          </w:p>
        </w:tc>
      </w:tr>
      <w:tr w14:paraId="05D7A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54" w:type="dxa"/>
            <w:vAlign w:val="center"/>
          </w:tcPr>
          <w:p w14:paraId="626A6FE9">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sz w:val="24"/>
                <w:szCs w:val="32"/>
              </w:rPr>
            </w:pPr>
            <w:r>
              <w:rPr>
                <w:rFonts w:hint="eastAsia" w:ascii="仿宋" w:hAnsi="仿宋" w:eastAsia="仿宋" w:cs="仿宋"/>
                <w:sz w:val="24"/>
                <w:szCs w:val="32"/>
              </w:rPr>
              <w:t>邮编：710016</w:t>
            </w:r>
          </w:p>
        </w:tc>
        <w:tc>
          <w:tcPr>
            <w:tcW w:w="4533" w:type="dxa"/>
            <w:vAlign w:val="center"/>
          </w:tcPr>
          <w:p w14:paraId="41DDAA0A">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sz w:val="24"/>
                <w:szCs w:val="32"/>
              </w:rPr>
            </w:pPr>
            <w:r>
              <w:rPr>
                <w:rFonts w:hint="eastAsia" w:ascii="仿宋" w:hAnsi="仿宋" w:eastAsia="仿宋" w:cs="仿宋"/>
                <w:sz w:val="24"/>
                <w:szCs w:val="32"/>
              </w:rPr>
              <w:t>邮编：</w:t>
            </w:r>
          </w:p>
        </w:tc>
      </w:tr>
      <w:tr w14:paraId="7FD62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54" w:type="dxa"/>
            <w:vAlign w:val="center"/>
          </w:tcPr>
          <w:p w14:paraId="01F7CF30">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sz w:val="24"/>
                <w:szCs w:val="32"/>
              </w:rPr>
            </w:pPr>
            <w:r>
              <w:rPr>
                <w:rFonts w:hint="eastAsia" w:ascii="仿宋" w:hAnsi="仿宋" w:eastAsia="仿宋" w:cs="仿宋"/>
                <w:sz w:val="24"/>
                <w:szCs w:val="32"/>
              </w:rPr>
              <w:t>法定代表人：</w:t>
            </w:r>
          </w:p>
        </w:tc>
        <w:tc>
          <w:tcPr>
            <w:tcW w:w="4533" w:type="dxa"/>
            <w:vAlign w:val="center"/>
          </w:tcPr>
          <w:p w14:paraId="742F3CAD">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sz w:val="24"/>
                <w:szCs w:val="32"/>
              </w:rPr>
            </w:pPr>
            <w:r>
              <w:rPr>
                <w:rFonts w:hint="eastAsia" w:ascii="仿宋" w:hAnsi="仿宋" w:eastAsia="仿宋" w:cs="仿宋"/>
                <w:sz w:val="24"/>
                <w:szCs w:val="32"/>
              </w:rPr>
              <w:t>法定代表人：</w:t>
            </w:r>
          </w:p>
        </w:tc>
      </w:tr>
      <w:tr w14:paraId="53282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54" w:type="dxa"/>
            <w:vAlign w:val="center"/>
          </w:tcPr>
          <w:p w14:paraId="0BC9ED60">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sz w:val="24"/>
                <w:szCs w:val="24"/>
              </w:rPr>
            </w:pPr>
            <w:r>
              <w:rPr>
                <w:rFonts w:hint="eastAsia" w:ascii="仿宋" w:hAnsi="仿宋" w:eastAsia="仿宋" w:cs="仿宋"/>
                <w:sz w:val="24"/>
                <w:szCs w:val="24"/>
              </w:rPr>
              <w:t>电话：</w:t>
            </w:r>
            <w:r>
              <w:rPr>
                <w:rFonts w:hint="eastAsia" w:ascii="仿宋" w:hAnsi="仿宋" w:eastAsia="仿宋" w:cs="仿宋"/>
                <w:kern w:val="0"/>
                <w:sz w:val="24"/>
                <w:szCs w:val="24"/>
              </w:rPr>
              <w:t>029-61816113</w:t>
            </w:r>
          </w:p>
        </w:tc>
        <w:tc>
          <w:tcPr>
            <w:tcW w:w="4533" w:type="dxa"/>
            <w:vAlign w:val="center"/>
          </w:tcPr>
          <w:p w14:paraId="4F4349E8">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sz w:val="24"/>
                <w:szCs w:val="32"/>
              </w:rPr>
            </w:pPr>
            <w:r>
              <w:rPr>
                <w:rFonts w:hint="eastAsia" w:ascii="仿宋" w:hAnsi="仿宋" w:eastAsia="仿宋" w:cs="仿宋"/>
                <w:sz w:val="24"/>
                <w:szCs w:val="32"/>
              </w:rPr>
              <w:t xml:space="preserve">电话： </w:t>
            </w:r>
          </w:p>
        </w:tc>
      </w:tr>
      <w:tr w14:paraId="33A8A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54" w:type="dxa"/>
            <w:vAlign w:val="center"/>
          </w:tcPr>
          <w:p w14:paraId="6380C657">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sz w:val="24"/>
                <w:szCs w:val="32"/>
              </w:rPr>
            </w:pPr>
          </w:p>
        </w:tc>
        <w:tc>
          <w:tcPr>
            <w:tcW w:w="4533" w:type="dxa"/>
            <w:vAlign w:val="center"/>
          </w:tcPr>
          <w:p w14:paraId="62CCFC7F">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sz w:val="24"/>
                <w:szCs w:val="32"/>
              </w:rPr>
            </w:pPr>
            <w:r>
              <w:rPr>
                <w:rFonts w:hint="eastAsia" w:ascii="仿宋" w:hAnsi="仿宋" w:eastAsia="仿宋" w:cs="仿宋"/>
                <w:sz w:val="24"/>
                <w:szCs w:val="32"/>
              </w:rPr>
              <w:t xml:space="preserve">开户银行：    </w:t>
            </w:r>
          </w:p>
        </w:tc>
      </w:tr>
      <w:tr w14:paraId="51575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54" w:type="dxa"/>
            <w:vAlign w:val="center"/>
          </w:tcPr>
          <w:p w14:paraId="390A94A1">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sz w:val="24"/>
                <w:szCs w:val="32"/>
              </w:rPr>
            </w:pPr>
          </w:p>
        </w:tc>
        <w:tc>
          <w:tcPr>
            <w:tcW w:w="4533" w:type="dxa"/>
            <w:vAlign w:val="center"/>
          </w:tcPr>
          <w:p w14:paraId="49B0E7AF">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sz w:val="24"/>
                <w:szCs w:val="32"/>
              </w:rPr>
            </w:pPr>
            <w:r>
              <w:rPr>
                <w:rFonts w:hint="eastAsia" w:ascii="仿宋" w:hAnsi="仿宋" w:eastAsia="仿宋" w:cs="仿宋"/>
                <w:sz w:val="24"/>
                <w:szCs w:val="32"/>
              </w:rPr>
              <w:t>账号：</w:t>
            </w:r>
          </w:p>
        </w:tc>
      </w:tr>
      <w:tr w14:paraId="62996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54" w:type="dxa"/>
            <w:vAlign w:val="center"/>
          </w:tcPr>
          <w:p w14:paraId="37F8E1A9">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sz w:val="24"/>
                <w:szCs w:val="32"/>
              </w:rPr>
            </w:pPr>
            <w:r>
              <w:rPr>
                <w:rFonts w:hint="eastAsia" w:ascii="仿宋" w:hAnsi="仿宋" w:eastAsia="仿宋" w:cs="仿宋"/>
                <w:sz w:val="24"/>
                <w:szCs w:val="32"/>
              </w:rPr>
              <w:t>日期：       年      月       日</w:t>
            </w:r>
          </w:p>
        </w:tc>
        <w:tc>
          <w:tcPr>
            <w:tcW w:w="4533" w:type="dxa"/>
            <w:vAlign w:val="center"/>
          </w:tcPr>
          <w:p w14:paraId="12167D35">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sz w:val="24"/>
                <w:szCs w:val="32"/>
              </w:rPr>
            </w:pPr>
            <w:r>
              <w:rPr>
                <w:rFonts w:hint="eastAsia" w:ascii="仿宋" w:hAnsi="仿宋" w:eastAsia="仿宋" w:cs="仿宋"/>
                <w:sz w:val="24"/>
                <w:szCs w:val="32"/>
              </w:rPr>
              <w:t>日期：       年      月      日</w:t>
            </w:r>
          </w:p>
        </w:tc>
      </w:tr>
    </w:tbl>
    <w:p w14:paraId="56C6FCFF">
      <w:pPr>
        <w:pStyle w:val="28"/>
        <w:rPr>
          <w:rFonts w:hint="eastAsia"/>
          <w:highlight w:val="none"/>
          <w:lang w:val="en-US" w:eastAsia="zh-Hans"/>
        </w:rPr>
      </w:pPr>
    </w:p>
    <w:p w14:paraId="3E8EEA42">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D9915A">
    <w:pPr>
      <w:tabs>
        <w:tab w:val="right" w:pos="8820"/>
      </w:tabs>
      <w:ind w:right="40"/>
      <w:rPr>
        <w:rFonts w:ascii="仿宋" w:hAnsi="仿宋" w:eastAsia="仿宋" w:cs="仿宋"/>
        <w:b/>
        <w:bCs/>
        <w:szCs w:val="21"/>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CCE3D0">
                          <w:pPr>
                            <w:pStyle w:val="16"/>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FCCE3D0">
                    <w:pPr>
                      <w:pStyle w:val="16"/>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8D5328"/>
    <w:multiLevelType w:val="multilevel"/>
    <w:tmpl w:val="008D5328"/>
    <w:lvl w:ilvl="0" w:tentative="0">
      <w:start w:val="1"/>
      <w:numFmt w:val="japaneseCounting"/>
      <w:lvlText w:val="%1、"/>
      <w:lvlJc w:val="left"/>
      <w:pPr>
        <w:ind w:left="720" w:hanging="72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9"/>
      <w:lvlText w:val="           "/>
      <w:lvlJc w:val="left"/>
      <w:pPr>
        <w:tabs>
          <w:tab w:val="left" w:pos="1440"/>
        </w:tabs>
        <w:ind w:left="1152" w:hanging="1152"/>
      </w:pPr>
      <w:rPr>
        <w:rFonts w:hint="eastAsia"/>
      </w:rPr>
    </w:lvl>
    <w:lvl w:ilvl="6" w:tentative="0">
      <w:start w:val="1"/>
      <w:numFmt w:val="decimal"/>
      <w:pStyle w:val="10"/>
      <w:lvlText w:val="%1.%2.%3.%4.%5.%6.%7"/>
      <w:lvlJc w:val="left"/>
      <w:pPr>
        <w:tabs>
          <w:tab w:val="left" w:pos="2520"/>
        </w:tabs>
        <w:ind w:left="1296" w:hanging="1296"/>
      </w:pPr>
      <w:rPr>
        <w:rFonts w:hint="eastAsia"/>
      </w:rPr>
    </w:lvl>
    <w:lvl w:ilvl="7" w:tentative="0">
      <w:start w:val="1"/>
      <w:numFmt w:val="decimal"/>
      <w:pStyle w:val="11"/>
      <w:lvlText w:val="%1.%2.%3.%4.%5.%6.%7.%8"/>
      <w:lvlJc w:val="left"/>
      <w:pPr>
        <w:tabs>
          <w:tab w:val="left" w:pos="1440"/>
        </w:tabs>
        <w:ind w:left="1440" w:hanging="1440"/>
      </w:pPr>
      <w:rPr>
        <w:rFonts w:hint="eastAsia"/>
      </w:rPr>
    </w:lvl>
    <w:lvl w:ilvl="8" w:tentative="0">
      <w:start w:val="1"/>
      <w:numFmt w:val="decimal"/>
      <w:pStyle w:val="12"/>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81F2782"/>
    <w:rsid w:val="091E1297"/>
    <w:rsid w:val="0AB64089"/>
    <w:rsid w:val="0B4121B4"/>
    <w:rsid w:val="0BD83185"/>
    <w:rsid w:val="0C6576D1"/>
    <w:rsid w:val="0D135C89"/>
    <w:rsid w:val="0D8B4292"/>
    <w:rsid w:val="0DCE1ADD"/>
    <w:rsid w:val="0E963FDB"/>
    <w:rsid w:val="0EC5559E"/>
    <w:rsid w:val="0ED17E6C"/>
    <w:rsid w:val="0F976343"/>
    <w:rsid w:val="0FA04CB1"/>
    <w:rsid w:val="105C0E12"/>
    <w:rsid w:val="107B1275"/>
    <w:rsid w:val="12800590"/>
    <w:rsid w:val="13033CDB"/>
    <w:rsid w:val="13150045"/>
    <w:rsid w:val="14543459"/>
    <w:rsid w:val="14861F02"/>
    <w:rsid w:val="14E52192"/>
    <w:rsid w:val="154A6DF0"/>
    <w:rsid w:val="15574892"/>
    <w:rsid w:val="16FE6557"/>
    <w:rsid w:val="176F6BB0"/>
    <w:rsid w:val="17D64044"/>
    <w:rsid w:val="18094FCA"/>
    <w:rsid w:val="18F64E36"/>
    <w:rsid w:val="195C3428"/>
    <w:rsid w:val="19C72AD7"/>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143199"/>
    <w:rsid w:val="23204BF7"/>
    <w:rsid w:val="23FC12D4"/>
    <w:rsid w:val="24095576"/>
    <w:rsid w:val="24626FA6"/>
    <w:rsid w:val="249D1FF2"/>
    <w:rsid w:val="25DE2DDA"/>
    <w:rsid w:val="25E95F17"/>
    <w:rsid w:val="25F74556"/>
    <w:rsid w:val="27680F35"/>
    <w:rsid w:val="28C96216"/>
    <w:rsid w:val="2A15141A"/>
    <w:rsid w:val="2A230D5A"/>
    <w:rsid w:val="2B370F4B"/>
    <w:rsid w:val="2C046B0D"/>
    <w:rsid w:val="2C8E2CA3"/>
    <w:rsid w:val="2CEC4289"/>
    <w:rsid w:val="2D576387"/>
    <w:rsid w:val="2D810546"/>
    <w:rsid w:val="2D9D4A5A"/>
    <w:rsid w:val="2E8C2BEA"/>
    <w:rsid w:val="2F2B785B"/>
    <w:rsid w:val="30937DBD"/>
    <w:rsid w:val="30C528D7"/>
    <w:rsid w:val="3107144D"/>
    <w:rsid w:val="32863B5F"/>
    <w:rsid w:val="33E14065"/>
    <w:rsid w:val="34F44E31"/>
    <w:rsid w:val="35181061"/>
    <w:rsid w:val="353B77E2"/>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25330"/>
    <w:rsid w:val="42D46393"/>
    <w:rsid w:val="44A02E0E"/>
    <w:rsid w:val="44E05090"/>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205B81"/>
    <w:rsid w:val="50A8592E"/>
    <w:rsid w:val="51A754EC"/>
    <w:rsid w:val="51AF69CD"/>
    <w:rsid w:val="521600BC"/>
    <w:rsid w:val="52420EF7"/>
    <w:rsid w:val="52963321"/>
    <w:rsid w:val="52A14EC3"/>
    <w:rsid w:val="534B638F"/>
    <w:rsid w:val="53F21995"/>
    <w:rsid w:val="5418220F"/>
    <w:rsid w:val="546045FE"/>
    <w:rsid w:val="554D5290"/>
    <w:rsid w:val="56296E24"/>
    <w:rsid w:val="56594A37"/>
    <w:rsid w:val="569B4C2B"/>
    <w:rsid w:val="56E04626"/>
    <w:rsid w:val="57DC64E0"/>
    <w:rsid w:val="581A515D"/>
    <w:rsid w:val="584125D2"/>
    <w:rsid w:val="58AE1A31"/>
    <w:rsid w:val="58B053E8"/>
    <w:rsid w:val="58CB3CE0"/>
    <w:rsid w:val="595A5E33"/>
    <w:rsid w:val="59EA7F4F"/>
    <w:rsid w:val="5ADC54F0"/>
    <w:rsid w:val="5C720E3A"/>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C149FF"/>
    <w:rsid w:val="65E14FB5"/>
    <w:rsid w:val="686D223D"/>
    <w:rsid w:val="691B2B1E"/>
    <w:rsid w:val="6BF01A2A"/>
    <w:rsid w:val="6C573973"/>
    <w:rsid w:val="6D2E3635"/>
    <w:rsid w:val="6D8F1939"/>
    <w:rsid w:val="6E5839D5"/>
    <w:rsid w:val="6E9D056A"/>
    <w:rsid w:val="712227CC"/>
    <w:rsid w:val="716345F2"/>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24"/>
    <w:qFormat/>
    <w:uiPriority w:val="0"/>
    <w:pPr>
      <w:keepNext/>
      <w:spacing w:line="360" w:lineRule="auto"/>
      <w:jc w:val="center"/>
      <w:outlineLvl w:val="0"/>
    </w:pPr>
    <w:rPr>
      <w:rFonts w:ascii="黑体" w:hAnsi="黑体" w:eastAsia="宋体" w:cs="Times New Roman"/>
      <w:b/>
      <w:sz w:val="36"/>
      <w:szCs w:val="24"/>
    </w:rPr>
  </w:style>
  <w:style w:type="paragraph" w:styleId="5">
    <w:name w:val="heading 2"/>
    <w:basedOn w:val="1"/>
    <w:next w:val="1"/>
    <w:link w:val="26"/>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6">
    <w:name w:val="heading 3"/>
    <w:basedOn w:val="1"/>
    <w:next w:val="1"/>
    <w:link w:val="23"/>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7">
    <w:name w:val="heading 4"/>
    <w:basedOn w:val="1"/>
    <w:next w:val="1"/>
    <w:link w:val="25"/>
    <w:semiHidden/>
    <w:unhideWhenUsed/>
    <w:qFormat/>
    <w:uiPriority w:val="0"/>
    <w:pPr>
      <w:spacing w:line="360" w:lineRule="auto"/>
      <w:jc w:val="both"/>
      <w:outlineLvl w:val="3"/>
    </w:pPr>
    <w:rPr>
      <w:rFonts w:ascii="仿宋" w:hAnsi="仿宋" w:cs="Arial"/>
      <w:b/>
      <w:snapToGrid w:val="0"/>
      <w:color w:val="000000"/>
      <w:szCs w:val="21"/>
    </w:rPr>
  </w:style>
  <w:style w:type="paragraph" w:styleId="8">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9">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10">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1">
    <w:name w:val="Default Paragraph Font"/>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13">
    <w:name w:val="Normal Indent"/>
    <w:basedOn w:val="1"/>
    <w:qFormat/>
    <w:uiPriority w:val="0"/>
    <w:pPr>
      <w:ind w:firstLine="420" w:firstLineChars="200"/>
    </w:pPr>
  </w:style>
  <w:style w:type="paragraph" w:styleId="14">
    <w:name w:val="toa heading"/>
    <w:basedOn w:val="1"/>
    <w:next w:val="1"/>
    <w:qFormat/>
    <w:uiPriority w:val="0"/>
    <w:pPr>
      <w:spacing w:before="120" w:beforeLines="0" w:beforeAutospacing="0"/>
    </w:pPr>
    <w:rPr>
      <w:rFonts w:ascii="Arial" w:hAnsi="Arial"/>
      <w:sz w:val="24"/>
    </w:rPr>
  </w:style>
  <w:style w:type="paragraph" w:styleId="15">
    <w:name w:val="Body Text"/>
    <w:basedOn w:val="1"/>
    <w:next w:val="1"/>
    <w:qFormat/>
    <w:uiPriority w:val="0"/>
    <w:pPr>
      <w:spacing w:after="120" w:afterLines="0" w:afterAutospacing="0"/>
    </w:pPr>
  </w:style>
  <w:style w:type="paragraph" w:styleId="16">
    <w:name w:val="footer"/>
    <w:basedOn w:val="1"/>
    <w:qFormat/>
    <w:uiPriority w:val="0"/>
    <w:pPr>
      <w:tabs>
        <w:tab w:val="center" w:pos="4153"/>
        <w:tab w:val="right" w:pos="8306"/>
      </w:tabs>
      <w:snapToGrid w:val="0"/>
      <w:jc w:val="left"/>
    </w:pPr>
    <w:rPr>
      <w:sz w:val="18"/>
    </w:rPr>
  </w:style>
  <w:style w:type="paragraph" w:styleId="17">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8">
    <w:name w:val="Body Text First Indent"/>
    <w:basedOn w:val="15"/>
    <w:next w:val="1"/>
    <w:unhideWhenUsed/>
    <w:qFormat/>
    <w:uiPriority w:val="99"/>
    <w:pPr>
      <w:ind w:firstLine="420" w:firstLineChars="100"/>
    </w:pPr>
    <w:rPr>
      <w:szCs w:val="24"/>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2">
    <w:name w:val="标题 2 Char1"/>
    <w:link w:val="5"/>
    <w:qFormat/>
    <w:uiPriority w:val="0"/>
    <w:rPr>
      <w:rFonts w:ascii="Arial" w:hAnsi="Arial" w:eastAsia="宋体" w:cs="Times New Roman"/>
      <w:b/>
      <w:bCs/>
      <w:kern w:val="0"/>
      <w:sz w:val="36"/>
      <w:szCs w:val="22"/>
      <w:lang w:val="zh-CN" w:bidi="zh-CN"/>
    </w:rPr>
  </w:style>
  <w:style w:type="character" w:customStyle="1" w:styleId="23">
    <w:name w:val="标题 3 Char"/>
    <w:basedOn w:val="21"/>
    <w:link w:val="6"/>
    <w:qFormat/>
    <w:uiPriority w:val="0"/>
    <w:rPr>
      <w:rFonts w:ascii="Times New Roman" w:hAnsi="Times New Roman" w:eastAsia="宋体" w:cs="Times New Roman"/>
      <w:b/>
      <w:bCs/>
      <w:kern w:val="2"/>
      <w:sz w:val="32"/>
      <w:szCs w:val="32"/>
    </w:rPr>
  </w:style>
  <w:style w:type="character" w:customStyle="1" w:styleId="24">
    <w:name w:val="标题 1 Char"/>
    <w:basedOn w:val="21"/>
    <w:link w:val="4"/>
    <w:qFormat/>
    <w:uiPriority w:val="0"/>
    <w:rPr>
      <w:rFonts w:ascii="黑体" w:hAnsi="黑体" w:eastAsia="宋体" w:cs="Times New Roman"/>
      <w:b/>
      <w:kern w:val="2"/>
      <w:sz w:val="36"/>
      <w:szCs w:val="24"/>
    </w:rPr>
  </w:style>
  <w:style w:type="character" w:customStyle="1" w:styleId="25">
    <w:name w:val="标题 4 Char"/>
    <w:basedOn w:val="21"/>
    <w:link w:val="7"/>
    <w:qFormat/>
    <w:uiPriority w:val="0"/>
    <w:rPr>
      <w:rFonts w:ascii="宋体" w:hAnsi="宋体" w:eastAsia="宋体" w:cs="Arial"/>
      <w:b/>
      <w:snapToGrid w:val="0"/>
      <w:color w:val="000000"/>
      <w:kern w:val="0"/>
      <w:sz w:val="30"/>
      <w:szCs w:val="21"/>
      <w:u w:val="none"/>
      <w:lang w:val="zh-CN" w:bidi="zh-CN"/>
    </w:rPr>
  </w:style>
  <w:style w:type="character" w:customStyle="1" w:styleId="26">
    <w:name w:val="标题 2 Char"/>
    <w:link w:val="5"/>
    <w:qFormat/>
    <w:uiPriority w:val="0"/>
    <w:rPr>
      <w:rFonts w:ascii="Arial" w:hAnsi="Arial" w:eastAsia="宋体" w:cs="Times New Roman"/>
      <w:b/>
      <w:sz w:val="32"/>
      <w:lang w:val="zh-CN" w:bidi="zh-CN"/>
    </w:rPr>
  </w:style>
  <w:style w:type="paragraph" w:styleId="27">
    <w:name w:val="List Paragraph"/>
    <w:basedOn w:val="1"/>
    <w:qFormat/>
    <w:uiPriority w:val="34"/>
    <w:pPr>
      <w:ind w:left="720"/>
      <w:contextualSpacing/>
    </w:pPr>
  </w:style>
  <w:style w:type="paragraph" w:customStyle="1" w:styleId="2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2025-11-13T08:42:33Z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C52D3228B0834DCA910314BE505988A2_13</vt:lpwstr>
  </property>
  <property fmtid="{D5CDD505-2E9C-101B-9397-08002B2CF9AE}" pid="4" name="KSOTemplateDocerSaveRecord">
    <vt:lpwstr>eyJoZGlkIjoiMTIzYjBkMDE0MDUwZWU1MDYzY2M0YTJiMmIyMWQyNDYiLCJ1c2VySWQiOiI5MTQ3Njg1NjkifQ==</vt:lpwstr>
  </property>
</Properties>
</file>