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D66C5F">
      <w:pPr>
        <w:pStyle w:val="15"/>
        <w:spacing w:before="0" w:beforeAutospacing="0" w:after="0" w:afterAutospacing="0" w:line="1000" w:lineRule="exact"/>
        <w:jc w:val="center"/>
        <w:rPr>
          <w:rFonts w:hint="eastAsia" w:ascii="仿宋_GB2312" w:hAnsi="仿宋_GB2312" w:eastAsia="仿宋_GB2312" w:cs="仿宋_GB2312"/>
          <w:b/>
          <w:color w:val="000000"/>
          <w:sz w:val="32"/>
          <w:szCs w:val="32"/>
        </w:rPr>
      </w:pPr>
    </w:p>
    <w:p w14:paraId="2849E0BE">
      <w:pPr>
        <w:adjustRightInd w:val="0"/>
        <w:snapToGrid w:val="0"/>
        <w:spacing w:line="360" w:lineRule="auto"/>
        <w:ind w:firstLine="643" w:firstLineChars="200"/>
        <w:jc w:val="center"/>
        <w:rPr>
          <w:rFonts w:hint="eastAsia" w:hAnsi="宋体"/>
          <w:highlight w:val="none"/>
        </w:rPr>
      </w:pPr>
      <w:r>
        <w:rPr>
          <w:rFonts w:hint="eastAsia" w:ascii="黑体" w:hAnsi="黑体" w:eastAsia="黑体" w:cs="黑体"/>
          <w:b/>
          <w:bCs/>
          <w:color w:val="auto"/>
          <w:kern w:val="2"/>
          <w:sz w:val="32"/>
          <w:szCs w:val="32"/>
          <w:highlight w:val="none"/>
          <w:lang w:val="zh-CN" w:eastAsia="zh-CN" w:bidi="ar-SA"/>
        </w:rPr>
        <w:t>拟签订的合同条款文本</w:t>
      </w:r>
    </w:p>
    <w:p w14:paraId="25693C7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 xml:space="preserve">甲方（采购人）： </w:t>
      </w:r>
    </w:p>
    <w:p w14:paraId="46F3AAE1">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乙方（</w:t>
      </w:r>
      <w:r>
        <w:rPr>
          <w:rFonts w:hint="eastAsia" w:ascii="仿宋_GB2312" w:hAnsi="仿宋_GB2312" w:eastAsia="仿宋_GB2312" w:cs="仿宋_GB2312"/>
          <w:bCs/>
          <w:sz w:val="20"/>
          <w:szCs w:val="20"/>
          <w:highlight w:val="none"/>
          <w:lang w:val="en-US" w:eastAsia="zh-CN"/>
        </w:rPr>
        <w:t>中标人</w:t>
      </w:r>
      <w:r>
        <w:rPr>
          <w:rFonts w:hint="eastAsia" w:ascii="仿宋_GB2312" w:hAnsi="仿宋_GB2312" w:eastAsia="仿宋_GB2312" w:cs="仿宋_GB2312"/>
          <w:bCs/>
          <w:sz w:val="20"/>
          <w:szCs w:val="20"/>
          <w:highlight w:val="none"/>
        </w:rPr>
        <w:t xml:space="preserve">）： </w:t>
      </w:r>
    </w:p>
    <w:p w14:paraId="64DC937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u w:val="single"/>
          <w:lang w:eastAsia="zh-CN"/>
        </w:rPr>
        <w:t>节水载体建设项目</w:t>
      </w:r>
      <w:r>
        <w:rPr>
          <w:rFonts w:hint="eastAsia" w:ascii="仿宋_GB2312" w:hAnsi="仿宋_GB2312" w:eastAsia="仿宋_GB2312" w:cs="仿宋_GB2312"/>
          <w:bCs/>
          <w:sz w:val="20"/>
          <w:szCs w:val="20"/>
          <w:highlight w:val="none"/>
          <w:u w:val="single"/>
        </w:rPr>
        <w:t>(项目编号：</w:t>
      </w:r>
      <w:r>
        <w:rPr>
          <w:rFonts w:hint="eastAsia" w:ascii="仿宋_GB2312" w:hAnsi="仿宋_GB2312" w:eastAsia="仿宋_GB2312" w:cs="仿宋_GB2312"/>
          <w:bCs/>
          <w:sz w:val="20"/>
          <w:szCs w:val="20"/>
          <w:highlight w:val="none"/>
          <w:u w:val="single"/>
          <w:lang w:eastAsia="zh-CN"/>
        </w:rPr>
        <w:t>SXHC2025-</w:t>
      </w:r>
      <w:r>
        <w:rPr>
          <w:rFonts w:hint="eastAsia" w:ascii="仿宋_GB2312" w:hAnsi="仿宋_GB2312" w:eastAsia="仿宋_GB2312" w:cs="仿宋_GB2312"/>
          <w:bCs/>
          <w:sz w:val="20"/>
          <w:szCs w:val="20"/>
          <w:highlight w:val="none"/>
          <w:u w:val="single"/>
          <w:lang w:val="en-US" w:eastAsia="zh-CN"/>
        </w:rPr>
        <w:t>296</w:t>
      </w:r>
      <w:r>
        <w:rPr>
          <w:rFonts w:hint="eastAsia" w:ascii="仿宋_GB2312" w:hAnsi="仿宋_GB2312" w:eastAsia="仿宋_GB2312" w:cs="仿宋_GB2312"/>
          <w:bCs/>
          <w:sz w:val="20"/>
          <w:szCs w:val="20"/>
          <w:highlight w:val="none"/>
          <w:u w:val="single"/>
        </w:rPr>
        <w:t>)</w:t>
      </w:r>
      <w:r>
        <w:rPr>
          <w:rFonts w:hint="eastAsia" w:ascii="仿宋_GB2312" w:hAnsi="仿宋_GB2312" w:eastAsia="仿宋_GB2312" w:cs="仿宋_GB2312"/>
          <w:bCs/>
          <w:sz w:val="20"/>
          <w:szCs w:val="20"/>
          <w:highlight w:val="none"/>
        </w:rPr>
        <w:t>，由陕西华采招标有限公司组织</w:t>
      </w:r>
      <w:r>
        <w:rPr>
          <w:rFonts w:hint="eastAsia" w:ascii="仿宋_GB2312" w:hAnsi="仿宋_GB2312" w:eastAsia="仿宋_GB2312" w:cs="仿宋_GB2312"/>
          <w:bCs/>
          <w:sz w:val="20"/>
          <w:szCs w:val="20"/>
          <w:highlight w:val="none"/>
          <w:lang w:val="en-US" w:eastAsia="zh-CN"/>
        </w:rPr>
        <w:t>公开招标</w:t>
      </w:r>
      <w:r>
        <w:rPr>
          <w:rFonts w:hint="eastAsia" w:ascii="仿宋_GB2312" w:hAnsi="仿宋_GB2312" w:eastAsia="仿宋_GB2312" w:cs="仿宋_GB2312"/>
          <w:bCs/>
          <w:sz w:val="20"/>
          <w:szCs w:val="20"/>
          <w:highlight w:val="none"/>
        </w:rPr>
        <w:t>，</w:t>
      </w:r>
      <w:r>
        <w:rPr>
          <w:rFonts w:hint="eastAsia" w:ascii="仿宋_GB2312" w:hAnsi="仿宋_GB2312" w:eastAsia="仿宋_GB2312" w:cs="仿宋_GB2312"/>
          <w:bCs/>
          <w:sz w:val="20"/>
          <w:szCs w:val="20"/>
          <w:highlight w:val="none"/>
          <w:u w:val="single"/>
        </w:rPr>
        <w:t xml:space="preserve">               </w:t>
      </w:r>
      <w:r>
        <w:rPr>
          <w:rFonts w:hint="eastAsia" w:ascii="仿宋_GB2312" w:hAnsi="仿宋_GB2312" w:eastAsia="仿宋_GB2312" w:cs="仿宋_GB2312"/>
          <w:bCs/>
          <w:sz w:val="20"/>
          <w:szCs w:val="20"/>
          <w:highlight w:val="none"/>
        </w:rPr>
        <w:t>(以下简称“甲方”)确定</w:t>
      </w:r>
      <w:r>
        <w:rPr>
          <w:rFonts w:hint="eastAsia" w:ascii="仿宋_GB2312" w:hAnsi="仿宋_GB2312" w:eastAsia="仿宋_GB2312" w:cs="仿宋_GB2312"/>
          <w:bCs/>
          <w:sz w:val="20"/>
          <w:szCs w:val="20"/>
          <w:highlight w:val="none"/>
          <w:u w:val="single"/>
        </w:rPr>
        <w:t xml:space="preserve">          </w:t>
      </w:r>
      <w:r>
        <w:rPr>
          <w:rFonts w:hint="eastAsia" w:ascii="仿宋_GB2312" w:hAnsi="仿宋_GB2312" w:eastAsia="仿宋_GB2312" w:cs="仿宋_GB2312"/>
          <w:bCs/>
          <w:sz w:val="20"/>
          <w:szCs w:val="20"/>
          <w:highlight w:val="none"/>
        </w:rPr>
        <w:t>（以下简称“乙方”）为该项目的</w:t>
      </w:r>
      <w:r>
        <w:rPr>
          <w:rFonts w:hint="eastAsia" w:ascii="仿宋_GB2312" w:hAnsi="仿宋_GB2312" w:eastAsia="仿宋_GB2312" w:cs="仿宋_GB2312"/>
          <w:bCs/>
          <w:sz w:val="20"/>
          <w:szCs w:val="20"/>
          <w:highlight w:val="none"/>
          <w:lang w:val="en-US" w:eastAsia="zh-CN"/>
        </w:rPr>
        <w:t>中标人</w:t>
      </w:r>
      <w:r>
        <w:rPr>
          <w:rFonts w:hint="eastAsia" w:ascii="仿宋_GB2312" w:hAnsi="仿宋_GB2312" w:eastAsia="仿宋_GB2312" w:cs="仿宋_GB2312"/>
          <w:bCs/>
          <w:sz w:val="20"/>
          <w:szCs w:val="20"/>
          <w:highlight w:val="none"/>
        </w:rPr>
        <w:t>。</w:t>
      </w:r>
    </w:p>
    <w:p w14:paraId="6D0B674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依据《中华人民共和国</w:t>
      </w:r>
      <w:r>
        <w:rPr>
          <w:rFonts w:hint="eastAsia" w:ascii="仿宋_GB2312" w:hAnsi="仿宋_GB2312" w:eastAsia="仿宋_GB2312" w:cs="仿宋_GB2312"/>
          <w:bCs/>
          <w:sz w:val="20"/>
          <w:szCs w:val="20"/>
          <w:highlight w:val="none"/>
          <w:lang w:val="en-US" w:eastAsia="zh-CN"/>
        </w:rPr>
        <w:t>民法典</w:t>
      </w:r>
      <w:r>
        <w:rPr>
          <w:rFonts w:hint="eastAsia" w:ascii="仿宋_GB2312" w:hAnsi="仿宋_GB2312" w:eastAsia="仿宋_GB2312" w:cs="仿宋_GB2312"/>
          <w:bCs/>
          <w:sz w:val="20"/>
          <w:szCs w:val="20"/>
          <w:highlight w:val="none"/>
        </w:rPr>
        <w:t>》和《中华人民共和国政府采购法》之规定，经双方在平等、自愿、互利的基础上，签订本合同，共同信守。</w:t>
      </w:r>
    </w:p>
    <w:p w14:paraId="5A11E758">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_GB2312" w:hAnsi="仿宋_GB2312" w:eastAsia="仿宋_GB2312" w:cs="仿宋_GB2312"/>
          <w:b/>
          <w:bCs/>
          <w:sz w:val="20"/>
          <w:szCs w:val="20"/>
          <w:highlight w:val="none"/>
          <w:u w:val="single"/>
          <w:lang w:val="en-US" w:eastAsia="zh-CN"/>
        </w:rPr>
      </w:pPr>
      <w:r>
        <w:rPr>
          <w:rFonts w:hint="eastAsia" w:ascii="仿宋_GB2312" w:hAnsi="仿宋_GB2312" w:eastAsia="仿宋_GB2312" w:cs="仿宋_GB2312"/>
          <w:b/>
          <w:sz w:val="20"/>
          <w:szCs w:val="20"/>
          <w:highlight w:val="none"/>
          <w:lang w:val="en-US" w:eastAsia="zh-CN"/>
        </w:rPr>
        <w:t>一</w:t>
      </w:r>
      <w:r>
        <w:rPr>
          <w:rFonts w:hint="eastAsia" w:ascii="仿宋_GB2312" w:hAnsi="仿宋_GB2312" w:eastAsia="仿宋_GB2312" w:cs="仿宋_GB2312"/>
          <w:b/>
          <w:sz w:val="20"/>
          <w:szCs w:val="20"/>
          <w:highlight w:val="none"/>
        </w:rPr>
        <w:t>、委托工作内容</w:t>
      </w:r>
      <w:r>
        <w:rPr>
          <w:rFonts w:hint="eastAsia" w:ascii="仿宋_GB2312" w:hAnsi="仿宋_GB2312" w:eastAsia="仿宋_GB2312" w:cs="仿宋_GB2312"/>
          <w:b/>
          <w:sz w:val="20"/>
          <w:szCs w:val="20"/>
          <w:highlight w:val="none"/>
          <w:lang w:eastAsia="zh-CN"/>
        </w:rPr>
        <w:t>：</w:t>
      </w:r>
      <w:r>
        <w:rPr>
          <w:rFonts w:hint="eastAsia" w:ascii="仿宋_GB2312" w:hAnsi="仿宋_GB2312" w:eastAsia="仿宋_GB2312" w:cs="仿宋_GB2312"/>
          <w:b/>
          <w:sz w:val="20"/>
          <w:szCs w:val="20"/>
          <w:highlight w:val="none"/>
          <w:u w:val="single"/>
          <w:lang w:val="en-US" w:eastAsia="zh-CN"/>
        </w:rPr>
        <w:t xml:space="preserve">           </w:t>
      </w:r>
      <w:r>
        <w:rPr>
          <w:rFonts w:hint="eastAsia" w:ascii="仿宋_GB2312" w:hAnsi="仿宋_GB2312" w:eastAsia="仿宋_GB2312" w:cs="仿宋_GB2312"/>
          <w:b/>
          <w:sz w:val="20"/>
          <w:szCs w:val="20"/>
          <w:highlight w:val="none"/>
          <w:u w:val="none"/>
          <w:lang w:val="en-US" w:eastAsia="zh-CN"/>
        </w:rPr>
        <w:t>。</w:t>
      </w:r>
    </w:p>
    <w:p w14:paraId="650F0398">
      <w:pPr>
        <w:keepNext w:val="0"/>
        <w:keepLines w:val="0"/>
        <w:pageBreakBefore w:val="0"/>
        <w:widowControl w:val="0"/>
        <w:kinsoku/>
        <w:wordWrap/>
        <w:overflowPunct/>
        <w:topLinePunct w:val="0"/>
        <w:bidi w:val="0"/>
        <w:adjustRightInd w:val="0"/>
        <w:snapToGrid w:val="0"/>
        <w:spacing w:line="360" w:lineRule="auto"/>
        <w:ind w:firstLine="402" w:firstLineChars="200"/>
        <w:textAlignment w:val="auto"/>
        <w:rPr>
          <w:rFonts w:hint="eastAsia" w:ascii="仿宋_GB2312" w:hAnsi="仿宋_GB2312" w:eastAsia="仿宋_GB2312" w:cs="仿宋_GB2312"/>
          <w:b/>
          <w:sz w:val="20"/>
          <w:szCs w:val="20"/>
          <w:highlight w:val="none"/>
        </w:rPr>
      </w:pPr>
      <w:r>
        <w:rPr>
          <w:rFonts w:hint="eastAsia" w:ascii="仿宋_GB2312" w:hAnsi="仿宋_GB2312" w:eastAsia="仿宋_GB2312" w:cs="仿宋_GB2312"/>
          <w:b/>
          <w:sz w:val="20"/>
          <w:szCs w:val="20"/>
          <w:highlight w:val="none"/>
          <w:lang w:val="en-US" w:eastAsia="zh-CN"/>
        </w:rPr>
        <w:t>二、</w:t>
      </w:r>
      <w:r>
        <w:rPr>
          <w:rFonts w:hint="eastAsia" w:ascii="仿宋_GB2312" w:hAnsi="仿宋_GB2312" w:eastAsia="仿宋_GB2312" w:cs="仿宋_GB2312"/>
          <w:b/>
          <w:sz w:val="20"/>
          <w:szCs w:val="20"/>
          <w:highlight w:val="none"/>
        </w:rPr>
        <w:t>合同价款</w:t>
      </w:r>
    </w:p>
    <w:p w14:paraId="6A58C5CF">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（一）合同总价款为人民币（大写）</w:t>
      </w:r>
      <w:r>
        <w:rPr>
          <w:rFonts w:hint="eastAsia" w:ascii="仿宋_GB2312" w:hAnsi="仿宋_GB2312" w:eastAsia="仿宋_GB2312" w:cs="仿宋_GB2312"/>
          <w:sz w:val="20"/>
          <w:szCs w:val="20"/>
          <w:highlight w:val="none"/>
          <w:u w:val="single"/>
        </w:rPr>
        <w:t xml:space="preserve">        </w:t>
      </w:r>
      <w:r>
        <w:rPr>
          <w:rFonts w:hint="eastAsia" w:ascii="仿宋_GB2312" w:hAnsi="仿宋_GB2312" w:eastAsia="仿宋_GB2312" w:cs="仿宋_GB2312"/>
          <w:sz w:val="20"/>
          <w:szCs w:val="20"/>
          <w:highlight w:val="none"/>
        </w:rPr>
        <w:t>（</w:t>
      </w:r>
      <w:r>
        <w:rPr>
          <w:rFonts w:hint="eastAsia" w:ascii="仿宋_GB2312" w:hAnsi="仿宋_GB2312" w:eastAsia="仿宋_GB2312" w:cs="仿宋_GB2312"/>
          <w:sz w:val="20"/>
          <w:szCs w:val="20"/>
          <w:highlight w:val="none"/>
          <w:lang w:val="en-US" w:eastAsia="zh-CN"/>
        </w:rPr>
        <w:t>¥</w:t>
      </w:r>
      <w:r>
        <w:rPr>
          <w:rFonts w:hint="eastAsia" w:ascii="仿宋_GB2312" w:hAnsi="仿宋_GB2312" w:eastAsia="仿宋_GB2312" w:cs="仿宋_GB2312"/>
          <w:sz w:val="20"/>
          <w:szCs w:val="20"/>
          <w:highlight w:val="none"/>
          <w:u w:val="single"/>
        </w:rPr>
        <w:t xml:space="preserve">      </w:t>
      </w:r>
      <w:r>
        <w:rPr>
          <w:rFonts w:hint="eastAsia" w:ascii="仿宋_GB2312" w:hAnsi="仿宋_GB2312" w:eastAsia="仿宋_GB2312" w:cs="仿宋_GB2312"/>
          <w:sz w:val="20"/>
          <w:szCs w:val="20"/>
          <w:highlight w:val="none"/>
        </w:rPr>
        <w:t>）。</w:t>
      </w:r>
    </w:p>
    <w:p w14:paraId="0F07AD10">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（二）</w:t>
      </w:r>
      <w:r>
        <w:rPr>
          <w:rFonts w:hint="eastAsia" w:ascii="仿宋_GB2312" w:hAnsi="仿宋_GB2312" w:eastAsia="仿宋_GB2312" w:cs="仿宋_GB2312"/>
          <w:bCs/>
          <w:sz w:val="20"/>
          <w:szCs w:val="20"/>
          <w:highlight w:val="none"/>
        </w:rPr>
        <w:t>合同总价是指本次服务内容所需的全部费用,包括不限于人工费、材料费、交通费、管理费、税金等一切相关费用。</w:t>
      </w:r>
    </w:p>
    <w:p w14:paraId="27D7D462">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（三）合同总价一次性包死，不受市场价格变化因素的影响。</w:t>
      </w:r>
    </w:p>
    <w:p w14:paraId="64B4749C">
      <w:pPr>
        <w:keepNext w:val="0"/>
        <w:keepLines w:val="0"/>
        <w:pageBreakBefore w:val="0"/>
        <w:widowControl w:val="0"/>
        <w:kinsoku/>
        <w:wordWrap/>
        <w:overflowPunct/>
        <w:topLinePunct w:val="0"/>
        <w:bidi w:val="0"/>
        <w:adjustRightInd w:val="0"/>
        <w:snapToGrid w:val="0"/>
        <w:spacing w:line="360" w:lineRule="auto"/>
        <w:ind w:firstLine="402" w:firstLineChars="200"/>
        <w:textAlignment w:val="auto"/>
        <w:rPr>
          <w:rFonts w:hint="eastAsia" w:ascii="仿宋_GB2312" w:hAnsi="仿宋_GB2312" w:eastAsia="仿宋_GB2312" w:cs="仿宋_GB2312"/>
          <w:b/>
          <w:sz w:val="20"/>
          <w:szCs w:val="20"/>
          <w:highlight w:val="none"/>
        </w:rPr>
      </w:pPr>
      <w:r>
        <w:rPr>
          <w:rFonts w:hint="eastAsia" w:ascii="仿宋_GB2312" w:hAnsi="仿宋_GB2312" w:eastAsia="仿宋_GB2312" w:cs="仿宋_GB2312"/>
          <w:b/>
          <w:sz w:val="20"/>
          <w:szCs w:val="20"/>
          <w:highlight w:val="none"/>
          <w:lang w:val="en-US" w:eastAsia="zh-CN"/>
        </w:rPr>
        <w:t>三</w:t>
      </w:r>
      <w:r>
        <w:rPr>
          <w:rFonts w:hint="eastAsia" w:ascii="仿宋_GB2312" w:hAnsi="仿宋_GB2312" w:eastAsia="仿宋_GB2312" w:cs="仿宋_GB2312"/>
          <w:b/>
          <w:sz w:val="20"/>
          <w:szCs w:val="20"/>
          <w:highlight w:val="none"/>
        </w:rPr>
        <w:t>、款项结算</w:t>
      </w:r>
    </w:p>
    <w:p w14:paraId="59A4E732">
      <w:pPr>
        <w:pStyle w:val="17"/>
        <w:keepNext w:val="0"/>
        <w:keepLines w:val="0"/>
        <w:pageBreakBefore w:val="0"/>
        <w:kinsoku/>
        <w:wordWrap/>
        <w:overflowPunct/>
        <w:topLinePunct w:val="0"/>
        <w:bidi w:val="0"/>
        <w:snapToGrid w:val="0"/>
        <w:spacing w:line="360" w:lineRule="auto"/>
        <w:ind w:firstLine="400" w:firstLineChars="200"/>
        <w:textAlignment w:val="auto"/>
        <w:rPr>
          <w:rFonts w:hint="eastAsia" w:ascii="仿宋_GB2312" w:hAnsi="仿宋_GB2312" w:eastAsia="仿宋_GB2312" w:cs="仿宋_GB2312"/>
          <w:snapToGrid w:val="0"/>
          <w:color w:val="000000"/>
          <w:kern w:val="0"/>
          <w:sz w:val="20"/>
          <w:szCs w:val="20"/>
          <w:highlight w:val="none"/>
          <w:lang w:val="en-US" w:eastAsia="en-US" w:bidi="ar-SA"/>
        </w:rPr>
      </w:pPr>
      <w:r>
        <w:rPr>
          <w:rFonts w:hint="eastAsia" w:ascii="仿宋_GB2312" w:hAnsi="仿宋_GB2312" w:eastAsia="仿宋_GB2312" w:cs="仿宋_GB2312"/>
          <w:snapToGrid w:val="0"/>
          <w:color w:val="000000"/>
          <w:kern w:val="0"/>
          <w:sz w:val="20"/>
          <w:szCs w:val="20"/>
          <w:highlight w:val="none"/>
          <w:lang w:val="en-US" w:eastAsia="en-US" w:bidi="ar-SA"/>
        </w:rPr>
        <w:t>（一）项款支付</w:t>
      </w:r>
    </w:p>
    <w:p w14:paraId="6D43CCCB">
      <w:pPr>
        <w:pStyle w:val="17"/>
        <w:keepNext w:val="0"/>
        <w:keepLines w:val="0"/>
        <w:pageBreakBefore w:val="0"/>
        <w:kinsoku/>
        <w:wordWrap/>
        <w:overflowPunct/>
        <w:topLinePunct w:val="0"/>
        <w:bidi w:val="0"/>
        <w:snapToGrid w:val="0"/>
        <w:spacing w:line="360" w:lineRule="auto"/>
        <w:ind w:firstLine="400" w:firstLineChars="200"/>
        <w:textAlignment w:val="auto"/>
        <w:rPr>
          <w:rFonts w:hint="eastAsia" w:ascii="仿宋_GB2312" w:hAnsi="仿宋_GB2312" w:eastAsia="仿宋_GB2312" w:cs="仿宋_GB2312"/>
          <w:snapToGrid w:val="0"/>
          <w:color w:val="000000"/>
          <w:kern w:val="0"/>
          <w:sz w:val="20"/>
          <w:szCs w:val="20"/>
          <w:highlight w:val="none"/>
          <w:lang w:val="en-US" w:eastAsia="zh-CN" w:bidi="ar-SA"/>
        </w:rPr>
      </w:pPr>
      <w:r>
        <w:rPr>
          <w:rFonts w:hint="eastAsia" w:ascii="仿宋_GB2312" w:hAnsi="仿宋_GB2312" w:eastAsia="仿宋_GB2312" w:cs="仿宋_GB2312"/>
          <w:snapToGrid w:val="0"/>
          <w:color w:val="000000"/>
          <w:kern w:val="0"/>
          <w:sz w:val="20"/>
          <w:szCs w:val="20"/>
          <w:highlight w:val="none"/>
          <w:lang w:val="en-US" w:eastAsia="zh-CN" w:bidi="ar-SA"/>
        </w:rPr>
        <w:t>1.合同款的支付:</w:t>
      </w:r>
    </w:p>
    <w:p w14:paraId="33295BD1">
      <w:pPr>
        <w:pStyle w:val="17"/>
        <w:keepNext w:val="0"/>
        <w:keepLines w:val="0"/>
        <w:pageBreakBefore w:val="0"/>
        <w:kinsoku/>
        <w:wordWrap/>
        <w:overflowPunct/>
        <w:topLinePunct w:val="0"/>
        <w:bidi w:val="0"/>
        <w:snapToGrid w:val="0"/>
        <w:spacing w:line="360" w:lineRule="auto"/>
        <w:ind w:firstLine="400" w:firstLineChars="200"/>
        <w:textAlignment w:val="auto"/>
        <w:rPr>
          <w:rFonts w:hint="eastAsia" w:ascii="仿宋_GB2312" w:hAnsi="仿宋_GB2312" w:eastAsia="仿宋_GB2312" w:cs="仿宋_GB2312"/>
          <w:snapToGrid w:val="0"/>
          <w:color w:val="000000"/>
          <w:kern w:val="0"/>
          <w:sz w:val="20"/>
          <w:szCs w:val="20"/>
          <w:highlight w:val="none"/>
          <w:lang w:val="en-US" w:eastAsia="zh-CN" w:bidi="ar-SA"/>
        </w:rPr>
      </w:pPr>
      <w:r>
        <w:rPr>
          <w:rFonts w:hint="eastAsia" w:ascii="仿宋_GB2312" w:hAnsi="仿宋_GB2312" w:eastAsia="仿宋_GB2312" w:cs="仿宋_GB2312"/>
          <w:snapToGrid w:val="0"/>
          <w:color w:val="000000"/>
          <w:kern w:val="0"/>
          <w:sz w:val="20"/>
          <w:szCs w:val="20"/>
          <w:highlight w:val="none"/>
          <w:lang w:val="en-US" w:eastAsia="zh-CN" w:bidi="ar-SA"/>
        </w:rPr>
        <w:t>（1）合同签订后，达到付款条件起30日内，支付合同总金额的80.00%；</w:t>
      </w:r>
    </w:p>
    <w:p w14:paraId="69A90F48">
      <w:pPr>
        <w:pStyle w:val="17"/>
        <w:keepNext w:val="0"/>
        <w:keepLines w:val="0"/>
        <w:pageBreakBefore w:val="0"/>
        <w:kinsoku/>
        <w:wordWrap/>
        <w:overflowPunct/>
        <w:topLinePunct w:val="0"/>
        <w:bidi w:val="0"/>
        <w:snapToGrid w:val="0"/>
        <w:spacing w:line="360" w:lineRule="auto"/>
        <w:ind w:firstLine="400" w:firstLineChars="200"/>
        <w:textAlignment w:val="auto"/>
        <w:rPr>
          <w:rFonts w:hint="eastAsia" w:ascii="仿宋_GB2312" w:hAnsi="仿宋_GB2312" w:eastAsia="仿宋_GB2312" w:cs="仿宋_GB2312"/>
          <w:snapToGrid w:val="0"/>
          <w:color w:val="000000"/>
          <w:kern w:val="0"/>
          <w:sz w:val="20"/>
          <w:szCs w:val="20"/>
          <w:highlight w:val="none"/>
          <w:lang w:val="en-US" w:eastAsia="zh-CN" w:bidi="ar-SA"/>
        </w:rPr>
      </w:pPr>
      <w:r>
        <w:rPr>
          <w:rFonts w:hint="eastAsia" w:ascii="仿宋_GB2312" w:hAnsi="仿宋_GB2312" w:eastAsia="仿宋_GB2312" w:cs="仿宋_GB2312"/>
          <w:snapToGrid w:val="0"/>
          <w:color w:val="000000"/>
          <w:kern w:val="0"/>
          <w:sz w:val="20"/>
          <w:szCs w:val="20"/>
          <w:highlight w:val="none"/>
          <w:lang w:val="en-US" w:eastAsia="zh-CN" w:bidi="ar-SA"/>
        </w:rPr>
        <w:t>（2）完成合同约定全部内容，待甲方组织验收合格后，达到付款条件起30日内，支付合同总金额的 20.00%。</w:t>
      </w:r>
    </w:p>
    <w:p w14:paraId="3EE7901A">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（二）支付方式：银行转账。</w:t>
      </w:r>
    </w:p>
    <w:p w14:paraId="7E2584B2">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（三）结算方式：乙方在接受付款前，根据支付方式开具发票给甲方。</w:t>
      </w:r>
    </w:p>
    <w:p w14:paraId="692D46FF">
      <w:pPr>
        <w:keepNext w:val="0"/>
        <w:keepLines w:val="0"/>
        <w:pageBreakBefore w:val="0"/>
        <w:widowControl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_GB2312" w:hAnsi="仿宋_GB2312" w:eastAsia="仿宋_GB2312" w:cs="仿宋_GB2312"/>
          <w:b/>
          <w:bCs/>
          <w:sz w:val="20"/>
          <w:szCs w:val="20"/>
          <w:highlight w:val="none"/>
          <w:lang w:val="en-US" w:eastAsia="zh-CN"/>
        </w:rPr>
      </w:pPr>
      <w:r>
        <w:rPr>
          <w:rFonts w:hint="eastAsia" w:ascii="仿宋_GB2312" w:hAnsi="仿宋_GB2312" w:eastAsia="仿宋_GB2312" w:cs="仿宋_GB2312"/>
          <w:b/>
          <w:bCs/>
          <w:sz w:val="20"/>
          <w:szCs w:val="20"/>
          <w:highlight w:val="none"/>
          <w:lang w:val="en-US" w:eastAsia="zh-CN"/>
        </w:rPr>
        <w:t>四</w:t>
      </w:r>
      <w:r>
        <w:rPr>
          <w:rFonts w:hint="eastAsia" w:ascii="仿宋_GB2312" w:hAnsi="仿宋_GB2312" w:eastAsia="仿宋_GB2312" w:cs="仿宋_GB2312"/>
          <w:b/>
          <w:bCs/>
          <w:sz w:val="20"/>
          <w:szCs w:val="20"/>
          <w:highlight w:val="none"/>
        </w:rPr>
        <w:t>、服务期限</w:t>
      </w:r>
      <w:r>
        <w:rPr>
          <w:rFonts w:hint="eastAsia" w:ascii="仿宋_GB2312" w:hAnsi="仿宋_GB2312" w:eastAsia="仿宋_GB2312" w:cs="仿宋_GB2312"/>
          <w:b/>
          <w:bCs/>
          <w:sz w:val="20"/>
          <w:szCs w:val="20"/>
          <w:highlight w:val="none"/>
          <w:lang w:val="en-US" w:eastAsia="zh-CN"/>
        </w:rPr>
        <w:t>及服务地点</w:t>
      </w:r>
    </w:p>
    <w:p w14:paraId="77EA0233">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（一）服务期限：自合同签订之日起90个日历天。</w:t>
      </w:r>
    </w:p>
    <w:p w14:paraId="4F2430CC">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（二）服务地点：西安市范围内，按具体甲方要求为准。</w:t>
      </w:r>
    </w:p>
    <w:p w14:paraId="744BFB41">
      <w:pPr>
        <w:keepNext w:val="0"/>
        <w:keepLines w:val="0"/>
        <w:pageBreakBefore w:val="0"/>
        <w:widowControl w:val="0"/>
        <w:kinsoku/>
        <w:wordWrap/>
        <w:overflowPunct/>
        <w:topLinePunct w:val="0"/>
        <w:bidi w:val="0"/>
        <w:adjustRightInd w:val="0"/>
        <w:snapToGrid w:val="0"/>
        <w:spacing w:line="360" w:lineRule="auto"/>
        <w:ind w:firstLine="402"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b/>
          <w:bCs/>
          <w:sz w:val="20"/>
          <w:szCs w:val="20"/>
          <w:highlight w:val="none"/>
          <w:lang w:val="en-US" w:eastAsia="zh-CN"/>
        </w:rPr>
        <w:t>五</w:t>
      </w:r>
      <w:r>
        <w:rPr>
          <w:rFonts w:hint="eastAsia" w:ascii="仿宋_GB2312" w:hAnsi="仿宋_GB2312" w:eastAsia="仿宋_GB2312" w:cs="仿宋_GB2312"/>
          <w:b/>
          <w:bCs/>
          <w:sz w:val="20"/>
          <w:szCs w:val="20"/>
          <w:highlight w:val="none"/>
        </w:rPr>
        <w:t>、</w:t>
      </w:r>
      <w:r>
        <w:rPr>
          <w:rFonts w:hint="eastAsia" w:ascii="仿宋_GB2312" w:hAnsi="仿宋_GB2312" w:eastAsia="仿宋_GB2312" w:cs="仿宋_GB2312"/>
          <w:b/>
          <w:bCs/>
          <w:sz w:val="20"/>
          <w:szCs w:val="20"/>
          <w:highlight w:val="none"/>
          <w:lang w:val="en-US" w:eastAsia="zh-CN"/>
        </w:rPr>
        <w:t>双方的权利和义务</w:t>
      </w:r>
      <w:r>
        <w:rPr>
          <w:rFonts w:hint="eastAsia" w:ascii="仿宋_GB2312" w:hAnsi="仿宋_GB2312" w:eastAsia="仿宋_GB2312" w:cs="仿宋_GB2312"/>
          <w:sz w:val="20"/>
          <w:szCs w:val="20"/>
          <w:highlight w:val="none"/>
          <w:lang w:val="en-US" w:eastAsia="zh-CN"/>
        </w:rPr>
        <w:t xml:space="preserve"> </w:t>
      </w:r>
    </w:p>
    <w:p w14:paraId="09CC8056">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（一）</w:t>
      </w:r>
      <w:r>
        <w:rPr>
          <w:rFonts w:hint="eastAsia" w:ascii="仿宋_GB2312" w:hAnsi="仿宋_GB2312" w:eastAsia="仿宋_GB2312" w:cs="仿宋_GB2312"/>
          <w:sz w:val="20"/>
          <w:szCs w:val="20"/>
          <w:highlight w:val="none"/>
          <w:lang w:val="en-US" w:eastAsia="zh-CN"/>
        </w:rPr>
        <w:t xml:space="preserve">甲方权利与义务 </w:t>
      </w:r>
    </w:p>
    <w:p w14:paraId="72A0C71E">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1.甲方有权向乙方询问工作进展情况及相关的内容</w:t>
      </w:r>
    </w:p>
    <w:p w14:paraId="12455FEC">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2.甲方有权阐述对具体问题的意见和建议。</w:t>
      </w:r>
    </w:p>
    <w:p w14:paraId="5CBD9CDF">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3.甲方有权根据项目的具体情况，要求乙方按期到项目现场勘探解决争议。</w:t>
      </w:r>
    </w:p>
    <w:p w14:paraId="6C076B00">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4.当甲方认定服务人员不按合同履行其职责，或与第三人串通给甲方造成经济损失的，甲方有权要求更换服务人员，直至终止合同并要求乙方承担相应的赔偿责任。</w:t>
      </w:r>
    </w:p>
    <w:p w14:paraId="4A522EA9">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（二）乙方权利和义务 </w:t>
      </w:r>
    </w:p>
    <w:p w14:paraId="0E8AEB82">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1.甲方应负责与本项目有关的第三人的协调，为乙方工作提供外部条件。</w:t>
      </w:r>
    </w:p>
    <w:p w14:paraId="4AADA86E">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2.甲方应当在约定的时间内，向乙方提供与本项目有关的资料。</w:t>
      </w:r>
    </w:p>
    <w:p w14:paraId="5414B30D">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3.甲方应当在约定的时间内就乙方书面提交并要求做出答复的事宜做出书面答复。乙方要求第三人提供有关资料时，甲方应负责转达及收集整理相关资料。</w:t>
      </w:r>
    </w:p>
    <w:p w14:paraId="584A0BC6">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4.甲方应当授权胜任本项目的代表，负责与乙方联系</w:t>
      </w:r>
    </w:p>
    <w:p w14:paraId="04497A24">
      <w:pPr>
        <w:keepNext w:val="0"/>
        <w:keepLines w:val="0"/>
        <w:pageBreakBefore w:val="0"/>
        <w:widowControl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_GB2312" w:hAnsi="仿宋_GB2312" w:eastAsia="仿宋_GB2312" w:cs="仿宋_GB2312"/>
          <w:b/>
          <w:sz w:val="20"/>
          <w:szCs w:val="20"/>
          <w:highlight w:val="none"/>
          <w:lang w:val="en-US" w:eastAsia="zh-CN"/>
        </w:rPr>
      </w:pPr>
      <w:r>
        <w:rPr>
          <w:rFonts w:hint="eastAsia" w:ascii="仿宋_GB2312" w:hAnsi="仿宋_GB2312" w:eastAsia="仿宋_GB2312" w:cs="仿宋_GB2312"/>
          <w:b/>
          <w:sz w:val="20"/>
          <w:szCs w:val="20"/>
          <w:highlight w:val="none"/>
          <w:lang w:val="en-US" w:eastAsia="zh-CN"/>
        </w:rPr>
        <w:t>六、服务质量保证</w:t>
      </w:r>
    </w:p>
    <w:p w14:paraId="27D88D75">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 w:val="0"/>
          <w:bCs/>
          <w:sz w:val="20"/>
          <w:szCs w:val="20"/>
          <w:highlight w:val="none"/>
          <w:lang w:val="en-US" w:eastAsia="zh-CN"/>
        </w:rPr>
      </w:pPr>
      <w:r>
        <w:rPr>
          <w:rFonts w:hint="eastAsia" w:ascii="仿宋_GB2312" w:hAnsi="仿宋_GB2312" w:eastAsia="仿宋_GB2312" w:cs="仿宋_GB2312"/>
          <w:b w:val="0"/>
          <w:bCs/>
          <w:sz w:val="20"/>
          <w:szCs w:val="20"/>
          <w:highlight w:val="none"/>
          <w:lang w:val="en-US" w:eastAsia="zh-CN"/>
        </w:rPr>
        <w:t>(一)乙方需派一名项目经理，直接与甲方沟通，项目经理接收甲方提出的问题与要求，并及时反馈给工作组，解决在项目实施过程中遇到的问题。</w:t>
      </w:r>
    </w:p>
    <w:p w14:paraId="491AF9FC">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 w:val="0"/>
          <w:bCs/>
          <w:sz w:val="20"/>
          <w:szCs w:val="20"/>
          <w:highlight w:val="none"/>
          <w:lang w:val="en-US" w:eastAsia="zh-CN"/>
        </w:rPr>
      </w:pPr>
      <w:r>
        <w:rPr>
          <w:rFonts w:hint="eastAsia" w:ascii="仿宋_GB2312" w:hAnsi="仿宋_GB2312" w:eastAsia="仿宋_GB2312" w:cs="仿宋_GB2312"/>
          <w:b w:val="0"/>
          <w:bCs/>
          <w:sz w:val="20"/>
          <w:szCs w:val="20"/>
          <w:highlight w:val="none"/>
          <w:lang w:val="en-US" w:eastAsia="zh-CN"/>
        </w:rPr>
        <w:t>(二)项目在实施过程中会出现不可预料的需求变更，乙方需积极配合甲方的需求变更，并按照变更后的需求继续进行方案实施。</w:t>
      </w:r>
    </w:p>
    <w:p w14:paraId="08C2CDBE">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 w:val="0"/>
          <w:bCs/>
          <w:sz w:val="20"/>
          <w:szCs w:val="20"/>
          <w:highlight w:val="none"/>
          <w:lang w:val="en-US" w:eastAsia="zh-CN"/>
        </w:rPr>
      </w:pPr>
      <w:r>
        <w:rPr>
          <w:rFonts w:hint="eastAsia" w:ascii="仿宋_GB2312" w:hAnsi="仿宋_GB2312" w:eastAsia="仿宋_GB2312" w:cs="仿宋_GB2312"/>
          <w:b w:val="0"/>
          <w:bCs/>
          <w:sz w:val="20"/>
          <w:szCs w:val="20"/>
          <w:highlight w:val="none"/>
          <w:lang w:val="en-US" w:eastAsia="zh-CN"/>
        </w:rPr>
        <w:t>(三)乙方需提交所有实施方案流程及说明文档。</w:t>
      </w:r>
    </w:p>
    <w:p w14:paraId="7A16E030">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 w:val="0"/>
          <w:bCs/>
          <w:sz w:val="20"/>
          <w:szCs w:val="20"/>
          <w:highlight w:val="none"/>
          <w:lang w:val="en-US" w:eastAsia="zh-CN"/>
        </w:rPr>
      </w:pPr>
      <w:r>
        <w:rPr>
          <w:rFonts w:hint="eastAsia" w:ascii="仿宋_GB2312" w:hAnsi="仿宋_GB2312" w:eastAsia="仿宋_GB2312" w:cs="仿宋_GB2312"/>
          <w:b w:val="0"/>
          <w:bCs/>
          <w:sz w:val="20"/>
          <w:szCs w:val="20"/>
          <w:highlight w:val="none"/>
          <w:lang w:val="en-US" w:eastAsia="zh-CN"/>
        </w:rPr>
        <w:t>(四)乙方需建立高效的管理团队，项目团队组成合理。</w:t>
      </w:r>
    </w:p>
    <w:p w14:paraId="5905C0EE">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 w:val="0"/>
          <w:bCs/>
          <w:sz w:val="20"/>
          <w:szCs w:val="20"/>
          <w:highlight w:val="none"/>
          <w:lang w:val="en-US" w:eastAsia="zh-CN"/>
        </w:rPr>
      </w:pPr>
      <w:r>
        <w:rPr>
          <w:rFonts w:hint="eastAsia" w:ascii="仿宋_GB2312" w:hAnsi="仿宋_GB2312" w:eastAsia="仿宋_GB2312" w:cs="仿宋_GB2312"/>
          <w:b w:val="0"/>
          <w:bCs/>
          <w:sz w:val="20"/>
          <w:szCs w:val="20"/>
          <w:highlight w:val="none"/>
          <w:lang w:val="en-US" w:eastAsia="zh-CN"/>
        </w:rPr>
        <w:t>(五)乙方需设有详细的技术资料档案和服务档案，将保存项目的详细资料以便于更好地提供服务。</w:t>
      </w:r>
    </w:p>
    <w:p w14:paraId="6BE1E685">
      <w:pPr>
        <w:keepNext w:val="0"/>
        <w:keepLines w:val="0"/>
        <w:pageBreakBefore w:val="0"/>
        <w:widowControl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_GB2312" w:hAnsi="仿宋_GB2312" w:eastAsia="仿宋_GB2312" w:cs="仿宋_GB2312"/>
          <w:b/>
          <w:bCs w:val="0"/>
          <w:sz w:val="20"/>
          <w:szCs w:val="20"/>
          <w:highlight w:val="none"/>
          <w:lang w:val="en-US" w:eastAsia="zh-CN"/>
        </w:rPr>
      </w:pPr>
      <w:r>
        <w:rPr>
          <w:rFonts w:hint="eastAsia" w:ascii="仿宋_GB2312" w:hAnsi="仿宋_GB2312" w:eastAsia="仿宋_GB2312" w:cs="仿宋_GB2312"/>
          <w:b/>
          <w:bCs w:val="0"/>
          <w:sz w:val="20"/>
          <w:szCs w:val="20"/>
          <w:highlight w:val="none"/>
          <w:lang w:val="en-US" w:eastAsia="zh-CN"/>
        </w:rPr>
        <w:t>七、知识产权</w:t>
      </w:r>
    </w:p>
    <w:p w14:paraId="686FAC69">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 w:val="0"/>
          <w:bCs/>
          <w:sz w:val="20"/>
          <w:szCs w:val="20"/>
          <w:highlight w:val="none"/>
          <w:lang w:val="en-US" w:eastAsia="zh-CN"/>
        </w:rPr>
      </w:pPr>
      <w:r>
        <w:rPr>
          <w:rFonts w:hint="eastAsia" w:ascii="仿宋_GB2312" w:hAnsi="仿宋_GB2312" w:eastAsia="仿宋_GB2312" w:cs="仿宋_GB2312"/>
          <w:b w:val="0"/>
          <w:bCs/>
          <w:sz w:val="20"/>
          <w:szCs w:val="20"/>
          <w:highlight w:val="none"/>
          <w:lang w:val="en-US" w:eastAsia="zh-CN"/>
        </w:rPr>
        <w:t>(一)本项目所涉及到的所有成果的知识产权归甲方所有。</w:t>
      </w:r>
    </w:p>
    <w:p w14:paraId="3DE2BDEC">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 w:val="0"/>
          <w:bCs/>
          <w:sz w:val="20"/>
          <w:szCs w:val="20"/>
          <w:highlight w:val="none"/>
          <w:lang w:val="en-US" w:eastAsia="zh-CN"/>
        </w:rPr>
      </w:pPr>
      <w:r>
        <w:rPr>
          <w:rFonts w:hint="eastAsia" w:ascii="仿宋_GB2312" w:hAnsi="仿宋_GB2312" w:eastAsia="仿宋_GB2312" w:cs="仿宋_GB2312"/>
          <w:b w:val="0"/>
          <w:bCs/>
          <w:sz w:val="20"/>
          <w:szCs w:val="20"/>
          <w:highlight w:val="none"/>
          <w:lang w:val="en-US" w:eastAsia="zh-CN"/>
        </w:rPr>
        <w:t>(二)乙方无论出于任何目的如在其他地方使用该成果，必须经甲方同意方可使用。否则，贵甲方有权要求终止涉及到该知识产权的任何使用活动并保留追究卖方相应的法律责任的权利。</w:t>
      </w:r>
    </w:p>
    <w:p w14:paraId="58520403">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 w:val="0"/>
          <w:bCs/>
          <w:sz w:val="20"/>
          <w:szCs w:val="20"/>
          <w:highlight w:val="none"/>
          <w:lang w:val="en-US" w:eastAsia="zh-CN"/>
        </w:rPr>
      </w:pPr>
      <w:r>
        <w:rPr>
          <w:rFonts w:hint="eastAsia" w:ascii="仿宋_GB2312" w:hAnsi="仿宋_GB2312" w:eastAsia="仿宋_GB2312" w:cs="仿宋_GB2312"/>
          <w:b w:val="0"/>
          <w:bCs/>
          <w:sz w:val="20"/>
          <w:szCs w:val="20"/>
          <w:highlight w:val="none"/>
          <w:lang w:val="en-US" w:eastAsia="zh-CN"/>
        </w:rPr>
        <w:t>(三)乙方为执行本合同而提供的技术资料使用权归甲方所有。</w:t>
      </w:r>
    </w:p>
    <w:p w14:paraId="4CCBCD97">
      <w:pPr>
        <w:keepNext w:val="0"/>
        <w:keepLines w:val="0"/>
        <w:pageBreakBefore w:val="0"/>
        <w:widowControl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_GB2312" w:hAnsi="仿宋_GB2312" w:eastAsia="仿宋_GB2312" w:cs="仿宋_GB2312"/>
          <w:b/>
          <w:bCs w:val="0"/>
          <w:sz w:val="20"/>
          <w:szCs w:val="20"/>
          <w:highlight w:val="none"/>
          <w:lang w:val="en-US" w:eastAsia="zh-CN"/>
        </w:rPr>
      </w:pPr>
      <w:r>
        <w:rPr>
          <w:rFonts w:hint="eastAsia" w:ascii="仿宋_GB2312" w:hAnsi="仿宋_GB2312" w:eastAsia="仿宋_GB2312" w:cs="仿宋_GB2312"/>
          <w:b/>
          <w:bCs w:val="0"/>
          <w:sz w:val="20"/>
          <w:szCs w:val="20"/>
          <w:highlight w:val="none"/>
          <w:lang w:val="en-US" w:eastAsia="zh-CN"/>
        </w:rPr>
        <w:t>八、保密规定</w:t>
      </w:r>
    </w:p>
    <w:p w14:paraId="77D8E7EE">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 w:val="0"/>
          <w:bCs/>
          <w:sz w:val="20"/>
          <w:szCs w:val="20"/>
          <w:highlight w:val="none"/>
          <w:lang w:val="en-US" w:eastAsia="zh-CN"/>
        </w:rPr>
      </w:pPr>
      <w:r>
        <w:rPr>
          <w:rFonts w:hint="eastAsia" w:ascii="仿宋_GB2312" w:hAnsi="仿宋_GB2312" w:eastAsia="仿宋_GB2312" w:cs="仿宋_GB2312"/>
          <w:b w:val="0"/>
          <w:bCs/>
          <w:sz w:val="20"/>
          <w:szCs w:val="20"/>
          <w:highlight w:val="none"/>
          <w:lang w:val="en-US" w:eastAsia="zh-CN"/>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7F601807">
      <w:pPr>
        <w:keepNext w:val="0"/>
        <w:keepLines w:val="0"/>
        <w:pageBreakBefore w:val="0"/>
        <w:widowControl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_GB2312" w:hAnsi="仿宋_GB2312" w:eastAsia="仿宋_GB2312" w:cs="仿宋_GB2312"/>
          <w:b/>
          <w:bCs w:val="0"/>
          <w:sz w:val="20"/>
          <w:szCs w:val="20"/>
          <w:highlight w:val="none"/>
          <w:lang w:val="en-US" w:eastAsia="zh-CN"/>
        </w:rPr>
      </w:pPr>
      <w:r>
        <w:rPr>
          <w:rFonts w:hint="eastAsia" w:ascii="仿宋_GB2312" w:hAnsi="仿宋_GB2312" w:eastAsia="仿宋_GB2312" w:cs="仿宋_GB2312"/>
          <w:b/>
          <w:sz w:val="20"/>
          <w:szCs w:val="20"/>
          <w:highlight w:val="none"/>
          <w:lang w:val="en-US" w:eastAsia="zh-CN"/>
        </w:rPr>
        <w:t>九</w:t>
      </w:r>
      <w:r>
        <w:rPr>
          <w:rFonts w:hint="eastAsia" w:ascii="仿宋_GB2312" w:hAnsi="仿宋_GB2312" w:eastAsia="仿宋_GB2312" w:cs="仿宋_GB2312"/>
          <w:b/>
          <w:bCs w:val="0"/>
          <w:sz w:val="20"/>
          <w:szCs w:val="20"/>
          <w:highlight w:val="none"/>
          <w:lang w:val="en-US" w:eastAsia="zh-CN"/>
        </w:rPr>
        <w:t>、其它事项</w:t>
      </w:r>
    </w:p>
    <w:p w14:paraId="7EC736B2">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 w:val="0"/>
          <w:bCs/>
          <w:sz w:val="20"/>
          <w:szCs w:val="20"/>
          <w:highlight w:val="none"/>
          <w:lang w:val="en-US" w:eastAsia="zh-CN"/>
        </w:rPr>
      </w:pPr>
      <w:r>
        <w:rPr>
          <w:rFonts w:hint="eastAsia" w:ascii="仿宋_GB2312" w:hAnsi="仿宋_GB2312" w:eastAsia="仿宋_GB2312" w:cs="仿宋_GB2312"/>
          <w:b w:val="0"/>
          <w:bCs/>
          <w:sz w:val="20"/>
          <w:szCs w:val="20"/>
          <w:highlight w:val="none"/>
          <w:lang w:val="en-US" w:eastAsia="zh-CN"/>
        </w:rPr>
        <w:t>(一)乙方不得转让、分包给其它单位或个人。</w:t>
      </w:r>
    </w:p>
    <w:p w14:paraId="6CBF37D1">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 w:val="0"/>
          <w:bCs/>
          <w:sz w:val="20"/>
          <w:szCs w:val="20"/>
          <w:highlight w:val="none"/>
          <w:lang w:val="en-US" w:eastAsia="zh-CN"/>
        </w:rPr>
      </w:pPr>
      <w:r>
        <w:rPr>
          <w:rFonts w:hint="eastAsia" w:ascii="仿宋_GB2312" w:hAnsi="仿宋_GB2312" w:eastAsia="仿宋_GB2312" w:cs="仿宋_GB2312"/>
          <w:b w:val="0"/>
          <w:bCs/>
          <w:sz w:val="20"/>
          <w:szCs w:val="20"/>
          <w:highlight w:val="none"/>
          <w:lang w:val="en-US" w:eastAsia="zh-CN"/>
        </w:rPr>
        <w:t>(二)乙方的投标文件和承诺等内容将列入合同</w:t>
      </w:r>
    </w:p>
    <w:p w14:paraId="249F96E8">
      <w:pPr>
        <w:keepNext w:val="0"/>
        <w:keepLines w:val="0"/>
        <w:pageBreakBefore w:val="0"/>
        <w:widowControl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_GB2312" w:hAnsi="仿宋_GB2312" w:eastAsia="仿宋_GB2312" w:cs="仿宋_GB2312"/>
          <w:b/>
          <w:sz w:val="20"/>
          <w:szCs w:val="20"/>
          <w:highlight w:val="none"/>
          <w:lang w:val="en-US" w:eastAsia="zh-CN"/>
        </w:rPr>
      </w:pPr>
      <w:r>
        <w:rPr>
          <w:rFonts w:hint="eastAsia" w:ascii="仿宋_GB2312" w:hAnsi="仿宋_GB2312" w:eastAsia="仿宋_GB2312" w:cs="仿宋_GB2312"/>
          <w:b/>
          <w:bCs w:val="0"/>
          <w:sz w:val="20"/>
          <w:szCs w:val="20"/>
          <w:highlight w:val="none"/>
          <w:lang w:val="en-US" w:eastAsia="zh-CN"/>
        </w:rPr>
        <w:t>十</w:t>
      </w:r>
      <w:r>
        <w:rPr>
          <w:rFonts w:hint="eastAsia" w:ascii="仿宋_GB2312" w:hAnsi="仿宋_GB2312" w:eastAsia="仿宋_GB2312" w:cs="仿宋_GB2312"/>
          <w:b/>
          <w:sz w:val="20"/>
          <w:szCs w:val="20"/>
          <w:highlight w:val="none"/>
        </w:rPr>
        <w:t>、</w:t>
      </w:r>
      <w:r>
        <w:rPr>
          <w:rFonts w:hint="eastAsia" w:ascii="仿宋_GB2312" w:hAnsi="仿宋_GB2312" w:eastAsia="仿宋_GB2312" w:cs="仿宋_GB2312"/>
          <w:b/>
          <w:sz w:val="20"/>
          <w:szCs w:val="20"/>
          <w:highlight w:val="none"/>
          <w:lang w:val="en-US" w:eastAsia="zh-CN"/>
        </w:rPr>
        <w:t>验收</w:t>
      </w:r>
    </w:p>
    <w:p w14:paraId="3324C8C8">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（一）本项目验收费用，由乙方自行承担。</w:t>
      </w:r>
    </w:p>
    <w:p w14:paraId="4E8691F2">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（二）服务期满后，由乙方向甲方递交验收通知书，经甲方确认后组织乙方进行系统验收(必要时</w:t>
      </w:r>
      <w:r>
        <w:rPr>
          <w:rFonts w:hint="eastAsia" w:ascii="仿宋_GB2312" w:hAnsi="仿宋_GB2312" w:eastAsia="仿宋_GB2312" w:cs="仿宋_GB2312"/>
          <w:bCs/>
          <w:sz w:val="20"/>
          <w:szCs w:val="20"/>
          <w:highlight w:val="none"/>
          <w:lang w:val="en-US" w:eastAsia="zh-CN"/>
        </w:rPr>
        <w:t>甲方</w:t>
      </w:r>
      <w:r>
        <w:rPr>
          <w:rFonts w:hint="eastAsia" w:ascii="仿宋_GB2312" w:hAnsi="仿宋_GB2312" w:eastAsia="仿宋_GB2312" w:cs="仿宋_GB2312"/>
          <w:bCs/>
          <w:sz w:val="20"/>
          <w:szCs w:val="20"/>
          <w:highlight w:val="none"/>
        </w:rPr>
        <w:t>可委托具有相关资质的第三方检测机构/技术专家对本次服务进行系统验收，需要国家法定检验部门进行检验或验收的由乙方负责联系)。验收合格后，填写政府采购项目验收单作为对本次服务的最终认可。</w:t>
      </w:r>
    </w:p>
    <w:p w14:paraId="3075740E">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（三）验收依据：</w:t>
      </w:r>
    </w:p>
    <w:p w14:paraId="6551AC4D">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1、本合同及附加文本；</w:t>
      </w:r>
    </w:p>
    <w:p w14:paraId="757FD772">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2、</w:t>
      </w:r>
      <w:r>
        <w:rPr>
          <w:rFonts w:hint="eastAsia" w:ascii="仿宋_GB2312" w:hAnsi="仿宋_GB2312" w:eastAsia="仿宋_GB2312" w:cs="仿宋_GB2312"/>
          <w:bCs/>
          <w:sz w:val="20"/>
          <w:szCs w:val="20"/>
          <w:highlight w:val="none"/>
          <w:lang w:val="en-US" w:eastAsia="zh-CN"/>
        </w:rPr>
        <w:t>招标</w:t>
      </w:r>
      <w:r>
        <w:rPr>
          <w:rFonts w:hint="eastAsia" w:ascii="仿宋_GB2312" w:hAnsi="仿宋_GB2312" w:eastAsia="仿宋_GB2312" w:cs="仿宋_GB2312"/>
          <w:bCs/>
          <w:sz w:val="20"/>
          <w:szCs w:val="20"/>
          <w:highlight w:val="none"/>
        </w:rPr>
        <w:t>文件、</w:t>
      </w:r>
      <w:r>
        <w:rPr>
          <w:rFonts w:hint="eastAsia" w:ascii="仿宋_GB2312" w:hAnsi="仿宋_GB2312" w:eastAsia="仿宋_GB2312" w:cs="仿宋_GB2312"/>
          <w:bCs/>
          <w:sz w:val="20"/>
          <w:szCs w:val="20"/>
          <w:highlight w:val="none"/>
          <w:lang w:val="en-US" w:eastAsia="zh-CN"/>
        </w:rPr>
        <w:t>中标人</w:t>
      </w:r>
      <w:r>
        <w:rPr>
          <w:rFonts w:hint="eastAsia" w:ascii="仿宋_GB2312" w:hAnsi="仿宋_GB2312" w:eastAsia="仿宋_GB2312" w:cs="仿宋_GB2312"/>
          <w:bCs/>
          <w:sz w:val="20"/>
          <w:szCs w:val="20"/>
          <w:highlight w:val="none"/>
        </w:rPr>
        <w:t>的</w:t>
      </w:r>
      <w:r>
        <w:rPr>
          <w:rFonts w:hint="eastAsia" w:ascii="仿宋_GB2312" w:hAnsi="仿宋_GB2312" w:eastAsia="仿宋_GB2312" w:cs="仿宋_GB2312"/>
          <w:bCs/>
          <w:sz w:val="20"/>
          <w:szCs w:val="20"/>
          <w:highlight w:val="none"/>
          <w:lang w:val="en-US" w:eastAsia="zh-CN"/>
        </w:rPr>
        <w:t>投标</w:t>
      </w:r>
      <w:r>
        <w:rPr>
          <w:rFonts w:hint="eastAsia" w:ascii="仿宋_GB2312" w:hAnsi="仿宋_GB2312" w:eastAsia="仿宋_GB2312" w:cs="仿宋_GB2312"/>
          <w:bCs/>
          <w:sz w:val="20"/>
          <w:szCs w:val="20"/>
          <w:highlight w:val="none"/>
        </w:rPr>
        <w:t>文件及澄清（承诺）函；</w:t>
      </w:r>
    </w:p>
    <w:p w14:paraId="0F9D2477">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b/>
          <w:sz w:val="20"/>
          <w:szCs w:val="20"/>
          <w:highlight w:val="none"/>
        </w:rPr>
      </w:pPr>
      <w:r>
        <w:rPr>
          <w:rFonts w:hint="eastAsia" w:ascii="仿宋_GB2312" w:hAnsi="仿宋_GB2312" w:eastAsia="仿宋_GB2312" w:cs="仿宋_GB2312"/>
          <w:bCs/>
          <w:sz w:val="20"/>
          <w:szCs w:val="20"/>
          <w:highlight w:val="none"/>
        </w:rPr>
        <w:t>3、国家相应的标准、规范。</w:t>
      </w:r>
    </w:p>
    <w:p w14:paraId="7602A69D">
      <w:pPr>
        <w:keepNext w:val="0"/>
        <w:keepLines w:val="0"/>
        <w:pageBreakBefore w:val="0"/>
        <w:widowControl w:val="0"/>
        <w:kinsoku/>
        <w:wordWrap/>
        <w:overflowPunct/>
        <w:topLinePunct w:val="0"/>
        <w:bidi w:val="0"/>
        <w:adjustRightInd w:val="0"/>
        <w:snapToGrid w:val="0"/>
        <w:spacing w:line="360" w:lineRule="auto"/>
        <w:ind w:firstLine="402" w:firstLineChars="200"/>
        <w:textAlignment w:val="auto"/>
        <w:rPr>
          <w:rFonts w:hint="eastAsia" w:ascii="仿宋_GB2312" w:hAnsi="仿宋_GB2312" w:eastAsia="仿宋_GB2312" w:cs="仿宋_GB2312"/>
          <w:b/>
          <w:sz w:val="20"/>
          <w:szCs w:val="20"/>
          <w:highlight w:val="none"/>
        </w:rPr>
      </w:pPr>
      <w:r>
        <w:rPr>
          <w:rFonts w:hint="eastAsia" w:ascii="仿宋_GB2312" w:hAnsi="仿宋_GB2312" w:eastAsia="仿宋_GB2312" w:cs="仿宋_GB2312"/>
          <w:b/>
          <w:sz w:val="20"/>
          <w:szCs w:val="20"/>
          <w:highlight w:val="none"/>
          <w:lang w:val="en-US" w:eastAsia="zh-CN"/>
        </w:rPr>
        <w:t>十一、</w:t>
      </w:r>
      <w:r>
        <w:rPr>
          <w:rFonts w:hint="eastAsia" w:ascii="仿宋_GB2312" w:hAnsi="仿宋_GB2312" w:eastAsia="仿宋_GB2312" w:cs="仿宋_GB2312"/>
          <w:b/>
          <w:sz w:val="20"/>
          <w:szCs w:val="20"/>
          <w:highlight w:val="none"/>
        </w:rPr>
        <w:t>违约责任</w:t>
      </w:r>
    </w:p>
    <w:p w14:paraId="1BB98EC0">
      <w:pPr>
        <w:autoSpaceDE w:val="0"/>
        <w:autoSpaceDN w:val="0"/>
        <w:adjustRightInd w:val="0"/>
        <w:snapToGrid w:val="0"/>
        <w:spacing w:line="360" w:lineRule="auto"/>
        <w:ind w:firstLine="63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（一）按《中华人民共和国民法典》中的相关条款执行。</w:t>
      </w:r>
    </w:p>
    <w:p w14:paraId="3337D8A4">
      <w:pPr>
        <w:autoSpaceDE w:val="0"/>
        <w:autoSpaceDN w:val="0"/>
        <w:adjustRightInd w:val="0"/>
        <w:snapToGrid w:val="0"/>
        <w:spacing w:line="360" w:lineRule="auto"/>
        <w:ind w:firstLine="63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（二）按合同要求提供服务或服务质量不能满足</w:t>
      </w:r>
      <w:r>
        <w:rPr>
          <w:rFonts w:hint="eastAsia" w:ascii="仿宋_GB2312" w:hAnsi="仿宋_GB2312" w:eastAsia="仿宋_GB2312" w:cs="仿宋_GB2312"/>
          <w:sz w:val="20"/>
          <w:szCs w:val="20"/>
          <w:highlight w:val="none"/>
        </w:rPr>
        <w:t>不能满足本次</w:t>
      </w:r>
      <w:r>
        <w:rPr>
          <w:rFonts w:hint="eastAsia" w:ascii="仿宋_GB2312" w:hAnsi="仿宋_GB2312" w:eastAsia="仿宋_GB2312" w:cs="仿宋_GB2312"/>
          <w:sz w:val="20"/>
          <w:szCs w:val="20"/>
          <w:highlight w:val="none"/>
          <w:lang w:val="en-US" w:eastAsia="zh-CN"/>
        </w:rPr>
        <w:t>招标</w:t>
      </w:r>
      <w:r>
        <w:rPr>
          <w:rFonts w:hint="eastAsia" w:ascii="仿宋_GB2312" w:hAnsi="仿宋_GB2312" w:eastAsia="仿宋_GB2312" w:cs="仿宋_GB2312"/>
          <w:sz w:val="20"/>
          <w:szCs w:val="20"/>
          <w:highlight w:val="none"/>
        </w:rPr>
        <w:t>要求</w:t>
      </w:r>
      <w:r>
        <w:rPr>
          <w:rFonts w:hint="eastAsia" w:ascii="仿宋_GB2312" w:hAnsi="仿宋_GB2312" w:eastAsia="仿宋_GB2312" w:cs="仿宋_GB2312"/>
          <w:bCs/>
          <w:sz w:val="20"/>
          <w:szCs w:val="20"/>
          <w:highlight w:val="none"/>
        </w:rPr>
        <w:t>，乙方必须无条件提高技术，完善服务质量，否则，甲方会同监督机构、采购代理机构有权终止合同并对乙方违约行为进行追究，同时按政府采购供应商管理办法进行相应的处罚。</w:t>
      </w:r>
    </w:p>
    <w:p w14:paraId="41E1B02A">
      <w:pPr>
        <w:autoSpaceDE w:val="0"/>
        <w:autoSpaceDN w:val="0"/>
        <w:adjustRightInd w:val="0"/>
        <w:snapToGrid w:val="0"/>
        <w:spacing w:line="360" w:lineRule="auto"/>
        <w:ind w:firstLine="63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（三）任何一方因不可抗力原因不能履行协议时，应尽快通知对方，双方均设法补偿。如仍无法履约协议，可协商延缓或撤销协议，双方责任免除。</w:t>
      </w:r>
    </w:p>
    <w:p w14:paraId="6D83C840">
      <w:pPr>
        <w:autoSpaceDE w:val="0"/>
        <w:autoSpaceDN w:val="0"/>
        <w:adjustRightInd w:val="0"/>
        <w:spacing w:line="360" w:lineRule="auto"/>
        <w:ind w:firstLine="402" w:firstLineChars="200"/>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lang w:val="en-US" w:eastAsia="zh-CN"/>
        </w:rPr>
        <w:t>十二</w:t>
      </w:r>
      <w:r>
        <w:rPr>
          <w:rFonts w:hint="eastAsia" w:ascii="仿宋_GB2312" w:hAnsi="仿宋_GB2312" w:eastAsia="仿宋_GB2312" w:cs="仿宋_GB2312"/>
          <w:b/>
          <w:bCs/>
          <w:sz w:val="20"/>
          <w:szCs w:val="20"/>
          <w:highlight w:val="none"/>
        </w:rPr>
        <w:t>、合同争议解决的方式</w:t>
      </w:r>
    </w:p>
    <w:p w14:paraId="255EDA13">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本合同在履行过程中发生的争议，由甲、乙双方当事人协商解决，协商不成的按下列第</w:t>
      </w:r>
      <w:r>
        <w:rPr>
          <w:rFonts w:hint="eastAsia" w:ascii="仿宋_GB2312" w:hAnsi="仿宋_GB2312" w:eastAsia="仿宋_GB2312" w:cs="仿宋_GB2312"/>
          <w:bCs/>
          <w:sz w:val="20"/>
          <w:szCs w:val="20"/>
          <w:highlight w:val="none"/>
          <w:u w:val="single"/>
        </w:rPr>
        <w:t>（二）</w:t>
      </w:r>
      <w:r>
        <w:rPr>
          <w:rFonts w:hint="eastAsia" w:ascii="仿宋_GB2312" w:hAnsi="仿宋_GB2312" w:eastAsia="仿宋_GB2312" w:cs="仿宋_GB2312"/>
          <w:bCs/>
          <w:sz w:val="20"/>
          <w:szCs w:val="20"/>
          <w:highlight w:val="none"/>
        </w:rPr>
        <w:t>种方式解决：</w:t>
      </w:r>
    </w:p>
    <w:p w14:paraId="3726C63C">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（一）提交西安仲裁委员会仲裁；</w:t>
      </w:r>
    </w:p>
    <w:p w14:paraId="610F2715">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（二）依法向甲方所在地人民法院起诉。</w:t>
      </w:r>
    </w:p>
    <w:p w14:paraId="5768F151">
      <w:pPr>
        <w:autoSpaceDE w:val="0"/>
        <w:autoSpaceDN w:val="0"/>
        <w:adjustRightInd w:val="0"/>
        <w:spacing w:line="360" w:lineRule="auto"/>
        <w:ind w:firstLine="402" w:firstLineChars="200"/>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lang w:val="en-US" w:eastAsia="zh-CN"/>
        </w:rPr>
        <w:t>十三</w:t>
      </w:r>
      <w:r>
        <w:rPr>
          <w:rFonts w:hint="eastAsia" w:ascii="仿宋_GB2312" w:hAnsi="仿宋_GB2312" w:eastAsia="仿宋_GB2312" w:cs="仿宋_GB2312"/>
          <w:b/>
          <w:bCs/>
          <w:sz w:val="20"/>
          <w:szCs w:val="20"/>
          <w:highlight w:val="none"/>
        </w:rPr>
        <w:t>、合同生效</w:t>
      </w:r>
    </w:p>
    <w:p w14:paraId="16C9937B">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（一）本合同经双方签字盖章后生效。</w:t>
      </w:r>
    </w:p>
    <w:p w14:paraId="0582FDB0">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（二）本合同须经甲、乙双方的法定代表人（授权代理人）在合同书上签字并加盖本单位公章后正式生效。</w:t>
      </w:r>
    </w:p>
    <w:p w14:paraId="3E900AB0">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（三）合同生效后，甲、乙双方须严格执行本合同条款的规定，全面履行合同，违者按《</w:t>
      </w:r>
      <w:r>
        <w:rPr>
          <w:rFonts w:hint="eastAsia" w:ascii="仿宋_GB2312" w:hAnsi="仿宋_GB2312" w:eastAsia="仿宋_GB2312" w:cs="仿宋_GB2312"/>
          <w:bCs/>
          <w:sz w:val="20"/>
          <w:szCs w:val="20"/>
          <w:highlight w:val="none"/>
          <w:lang w:eastAsia="zh-CN"/>
        </w:rPr>
        <w:t>中华人民共和国民法典</w:t>
      </w:r>
      <w:r>
        <w:rPr>
          <w:rFonts w:hint="eastAsia" w:ascii="仿宋_GB2312" w:hAnsi="仿宋_GB2312" w:eastAsia="仿宋_GB2312" w:cs="仿宋_GB2312"/>
          <w:bCs/>
          <w:sz w:val="20"/>
          <w:szCs w:val="20"/>
          <w:highlight w:val="none"/>
        </w:rPr>
        <w:t>》的有关规定承担相应责任。</w:t>
      </w:r>
    </w:p>
    <w:p w14:paraId="5026793A">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（四）本合同一式</w:t>
      </w:r>
      <w:r>
        <w:rPr>
          <w:rFonts w:hint="eastAsia" w:ascii="仿宋_GB2312" w:hAnsi="仿宋_GB2312" w:eastAsia="仿宋_GB2312" w:cs="仿宋_GB2312"/>
          <w:bCs/>
          <w:sz w:val="20"/>
          <w:szCs w:val="20"/>
          <w:highlight w:val="none"/>
          <w:u w:val="single"/>
        </w:rPr>
        <w:t xml:space="preserve">   </w:t>
      </w:r>
      <w:r>
        <w:rPr>
          <w:rFonts w:hint="eastAsia" w:ascii="仿宋_GB2312" w:hAnsi="仿宋_GB2312" w:eastAsia="仿宋_GB2312" w:cs="仿宋_GB2312"/>
          <w:bCs/>
          <w:sz w:val="20"/>
          <w:szCs w:val="20"/>
          <w:highlight w:val="none"/>
        </w:rPr>
        <w:t>份，甲乙双方各执</w:t>
      </w:r>
      <w:r>
        <w:rPr>
          <w:rFonts w:hint="eastAsia" w:ascii="仿宋_GB2312" w:hAnsi="仿宋_GB2312" w:eastAsia="仿宋_GB2312" w:cs="仿宋_GB2312"/>
          <w:bCs/>
          <w:sz w:val="20"/>
          <w:szCs w:val="20"/>
          <w:highlight w:val="none"/>
          <w:u w:val="single"/>
        </w:rPr>
        <w:t xml:space="preserve">    </w:t>
      </w:r>
      <w:r>
        <w:rPr>
          <w:rFonts w:hint="eastAsia" w:ascii="仿宋_GB2312" w:hAnsi="仿宋_GB2312" w:eastAsia="仿宋_GB2312" w:cs="仿宋_GB2312"/>
          <w:bCs/>
          <w:sz w:val="20"/>
          <w:szCs w:val="20"/>
          <w:highlight w:val="none"/>
        </w:rPr>
        <w:t>份。</w:t>
      </w:r>
    </w:p>
    <w:p w14:paraId="6195A6C2">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（五）本合同如有未尽事宜，甲、乙双方协商解决。</w:t>
      </w:r>
    </w:p>
    <w:p w14:paraId="746AD911">
      <w:pPr>
        <w:tabs>
          <w:tab w:val="left" w:pos="480"/>
        </w:tabs>
        <w:spacing w:line="360" w:lineRule="auto"/>
        <w:ind w:firstLine="320" w:firstLineChars="200"/>
        <w:rPr>
          <w:rFonts w:hint="eastAsia" w:ascii="仿宋_GB2312" w:hAnsi="仿宋_GB2312" w:eastAsia="仿宋_GB2312" w:cs="仿宋_GB2312"/>
          <w:spacing w:val="-20"/>
          <w:kern w:val="0"/>
          <w:sz w:val="20"/>
          <w:szCs w:val="20"/>
          <w:highlight w:val="none"/>
        </w:rPr>
      </w:pPr>
    </w:p>
    <w:tbl>
      <w:tblPr>
        <w:tblStyle w:val="9"/>
        <w:tblW w:w="4999"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4911"/>
        <w:gridCol w:w="5049"/>
      </w:tblGrid>
      <w:tr w14:paraId="24FAFED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79" w:hRule="exact"/>
          <w:jc w:val="center"/>
        </w:trPr>
        <w:tc>
          <w:tcPr>
            <w:tcW w:w="2465" w:type="pct"/>
            <w:noWrap w:val="0"/>
            <w:vAlign w:val="center"/>
          </w:tcPr>
          <w:p w14:paraId="5849CD78">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甲  方</w:t>
            </w:r>
          </w:p>
        </w:tc>
        <w:tc>
          <w:tcPr>
            <w:tcW w:w="2534" w:type="pct"/>
            <w:noWrap w:val="0"/>
            <w:vAlign w:val="center"/>
          </w:tcPr>
          <w:p w14:paraId="62D53796">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乙  方</w:t>
            </w:r>
          </w:p>
        </w:tc>
      </w:tr>
      <w:tr w14:paraId="03FC024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52" w:hRule="exact"/>
          <w:jc w:val="center"/>
        </w:trPr>
        <w:tc>
          <w:tcPr>
            <w:tcW w:w="2465" w:type="pct"/>
            <w:noWrap w:val="0"/>
            <w:vAlign w:val="center"/>
          </w:tcPr>
          <w:p w14:paraId="456BEAE2">
            <w:pPr>
              <w:autoSpaceDE w:val="0"/>
              <w:autoSpaceDN w:val="0"/>
              <w:adjustRightInd w:val="0"/>
              <w:ind w:firstLine="560" w:firstLineChars="35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（盖章）</w:t>
            </w:r>
          </w:p>
        </w:tc>
        <w:tc>
          <w:tcPr>
            <w:tcW w:w="2534" w:type="pct"/>
            <w:noWrap w:val="0"/>
            <w:vAlign w:val="center"/>
          </w:tcPr>
          <w:p w14:paraId="75C90935">
            <w:pPr>
              <w:autoSpaceDE w:val="0"/>
              <w:autoSpaceDN w:val="0"/>
              <w:adjustRightInd w:val="0"/>
              <w:ind w:firstLine="640" w:firstLineChars="40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（盖章）</w:t>
            </w:r>
          </w:p>
        </w:tc>
      </w:tr>
      <w:tr w14:paraId="15D0185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5B939D36">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 xml:space="preserve">地址： </w:t>
            </w:r>
          </w:p>
        </w:tc>
        <w:tc>
          <w:tcPr>
            <w:tcW w:w="2534" w:type="pct"/>
            <w:noWrap w:val="0"/>
            <w:vAlign w:val="center"/>
          </w:tcPr>
          <w:p w14:paraId="25A19637">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地址：</w:t>
            </w:r>
          </w:p>
        </w:tc>
      </w:tr>
      <w:tr w14:paraId="5B6A2C0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2A7BC648">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邮编：</w:t>
            </w:r>
          </w:p>
        </w:tc>
        <w:tc>
          <w:tcPr>
            <w:tcW w:w="2534" w:type="pct"/>
            <w:noWrap w:val="0"/>
            <w:vAlign w:val="center"/>
          </w:tcPr>
          <w:p w14:paraId="79001545">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邮编：</w:t>
            </w:r>
          </w:p>
        </w:tc>
      </w:tr>
      <w:tr w14:paraId="1524A7B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69D96387">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 xml:space="preserve">法定代表人： </w:t>
            </w:r>
          </w:p>
        </w:tc>
        <w:tc>
          <w:tcPr>
            <w:tcW w:w="2534" w:type="pct"/>
            <w:noWrap w:val="0"/>
            <w:vAlign w:val="center"/>
          </w:tcPr>
          <w:p w14:paraId="060BB697">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法定代表人：</w:t>
            </w:r>
          </w:p>
        </w:tc>
      </w:tr>
      <w:tr w14:paraId="6BC3383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6E525ED0">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被授权代表：</w:t>
            </w:r>
          </w:p>
        </w:tc>
        <w:tc>
          <w:tcPr>
            <w:tcW w:w="2534" w:type="pct"/>
            <w:noWrap w:val="0"/>
            <w:vAlign w:val="center"/>
          </w:tcPr>
          <w:p w14:paraId="2411732D">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被授权代表：</w:t>
            </w:r>
          </w:p>
        </w:tc>
      </w:tr>
      <w:tr w14:paraId="44D4DC8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05E66500">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电话：</w:t>
            </w:r>
          </w:p>
        </w:tc>
        <w:tc>
          <w:tcPr>
            <w:tcW w:w="2534" w:type="pct"/>
            <w:noWrap w:val="0"/>
            <w:vAlign w:val="center"/>
          </w:tcPr>
          <w:p w14:paraId="1851C612">
            <w:pPr>
              <w:autoSpaceDE w:val="0"/>
              <w:autoSpaceDN w:val="0"/>
              <w:adjustRightInd w:val="0"/>
              <w:ind w:left="840" w:hanging="480" w:hangingChars="30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电话：</w:t>
            </w:r>
          </w:p>
        </w:tc>
      </w:tr>
      <w:tr w14:paraId="1757EAE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1EECB1E1">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传真：</w:t>
            </w:r>
          </w:p>
        </w:tc>
        <w:tc>
          <w:tcPr>
            <w:tcW w:w="2534" w:type="pct"/>
            <w:noWrap w:val="0"/>
            <w:vAlign w:val="center"/>
          </w:tcPr>
          <w:p w14:paraId="478DA927">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传真：</w:t>
            </w:r>
          </w:p>
        </w:tc>
      </w:tr>
      <w:tr w14:paraId="5DD18BD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65FDB3CF">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开户银行：</w:t>
            </w:r>
          </w:p>
        </w:tc>
        <w:tc>
          <w:tcPr>
            <w:tcW w:w="2534" w:type="pct"/>
            <w:noWrap w:val="0"/>
            <w:vAlign w:val="center"/>
          </w:tcPr>
          <w:p w14:paraId="6A648556">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开户银行：</w:t>
            </w:r>
          </w:p>
        </w:tc>
      </w:tr>
      <w:tr w14:paraId="0FD30F9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560ABDAB">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日期：</w:t>
            </w:r>
          </w:p>
        </w:tc>
        <w:tc>
          <w:tcPr>
            <w:tcW w:w="2534" w:type="pct"/>
            <w:noWrap w:val="0"/>
            <w:vAlign w:val="center"/>
          </w:tcPr>
          <w:p w14:paraId="14412961">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日期：</w:t>
            </w:r>
          </w:p>
        </w:tc>
      </w:tr>
    </w:tbl>
    <w:p w14:paraId="200E9FE4">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AA4C83"/>
    <w:rsid w:val="00C34048"/>
    <w:rsid w:val="050471D5"/>
    <w:rsid w:val="053C7039"/>
    <w:rsid w:val="05711A44"/>
    <w:rsid w:val="07055153"/>
    <w:rsid w:val="07F933E3"/>
    <w:rsid w:val="09CF2980"/>
    <w:rsid w:val="09D0533B"/>
    <w:rsid w:val="0B6F77E5"/>
    <w:rsid w:val="0BE77DA2"/>
    <w:rsid w:val="117A2513"/>
    <w:rsid w:val="13FE0526"/>
    <w:rsid w:val="181C3FA3"/>
    <w:rsid w:val="18EF18DD"/>
    <w:rsid w:val="19235D7C"/>
    <w:rsid w:val="1CAA4C83"/>
    <w:rsid w:val="1F5A6197"/>
    <w:rsid w:val="23C949D6"/>
    <w:rsid w:val="26396924"/>
    <w:rsid w:val="26E13E53"/>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C01FE2"/>
    <w:rsid w:val="485E59E4"/>
    <w:rsid w:val="4A3C512E"/>
    <w:rsid w:val="4BE156B5"/>
    <w:rsid w:val="4EE80B08"/>
    <w:rsid w:val="50742555"/>
    <w:rsid w:val="52876BC7"/>
    <w:rsid w:val="530774AF"/>
    <w:rsid w:val="55A52421"/>
    <w:rsid w:val="579A3366"/>
    <w:rsid w:val="59502521"/>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C1EDC"/>
    <w:rsid w:val="6CD76DE8"/>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方正仿宋简体" w:cs="Times New Roman"/>
      <w:kern w:val="2"/>
      <w:sz w:val="32"/>
      <w:lang w:val="en-US" w:eastAsia="zh-CN" w:bidi="ar-SA"/>
    </w:rPr>
  </w:style>
  <w:style w:type="paragraph" w:styleId="2">
    <w:name w:val="heading 1"/>
    <w:basedOn w:val="1"/>
    <w:next w:val="1"/>
    <w:link w:val="13"/>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3">
    <w:name w:val="heading 2"/>
    <w:basedOn w:val="1"/>
    <w:next w:val="1"/>
    <w:link w:val="12"/>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4">
    <w:name w:val="heading 3"/>
    <w:basedOn w:val="1"/>
    <w:next w:val="1"/>
    <w:link w:val="14"/>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5">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11">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Body Text"/>
    <w:basedOn w:val="1"/>
    <w:next w:val="1"/>
    <w:autoRedefine/>
    <w:qFormat/>
    <w:uiPriority w:val="0"/>
    <w:pPr>
      <w:spacing w:after="120" w:afterLines="0" w:afterAutospacing="0"/>
    </w:pPr>
  </w:style>
  <w:style w:type="paragraph" w:styleId="8">
    <w:name w:val="Body Text Indent 2"/>
    <w:basedOn w:val="1"/>
    <w:qFormat/>
    <w:uiPriority w:val="0"/>
    <w:pPr>
      <w:spacing w:line="440" w:lineRule="exact"/>
      <w:ind w:left="420"/>
    </w:pPr>
    <w:rPr>
      <w:rFonts w:ascii="宋体"/>
      <w:kern w:val="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2 Char"/>
    <w:link w:val="3"/>
    <w:autoRedefine/>
    <w:qFormat/>
    <w:uiPriority w:val="0"/>
    <w:rPr>
      <w:rFonts w:ascii="Arial" w:hAnsi="Arial" w:eastAsia="仿宋_GB2312" w:cs="Times New Roman"/>
      <w:b/>
      <w:snapToGrid w:val="0"/>
      <w:color w:val="000000"/>
      <w:kern w:val="0"/>
      <w:sz w:val="30"/>
      <w:szCs w:val="24"/>
      <w:lang w:eastAsia="en-US"/>
    </w:rPr>
  </w:style>
  <w:style w:type="character" w:customStyle="1" w:styleId="13">
    <w:name w:val="标题 1 Char"/>
    <w:link w:val="2"/>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4">
    <w:name w:val="标题 3 Char"/>
    <w:link w:val="4"/>
    <w:qFormat/>
    <w:uiPriority w:val="0"/>
    <w:rPr>
      <w:rFonts w:ascii="Calibri" w:hAnsi="Calibri" w:eastAsia="仿宋_GB2312" w:cs="Times New Roman"/>
      <w:b/>
      <w:bCs/>
      <w:sz w:val="24"/>
      <w:szCs w:val="24"/>
    </w:rPr>
  </w:style>
  <w:style w:type="paragraph" w:customStyle="1" w:styleId="15">
    <w:name w:val="tx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6">
    <w:name w:val="正文缩进1"/>
    <w:basedOn w:val="1"/>
    <w:qFormat/>
    <w:uiPriority w:val="0"/>
    <w:pPr>
      <w:ind w:firstLine="420" w:firstLineChars="200"/>
    </w:p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4390</Words>
  <Characters>4495</Characters>
  <Lines>0</Lines>
  <Paragraphs>0</Paragraphs>
  <TotalTime>0</TotalTime>
  <ScaleCrop>false</ScaleCrop>
  <LinksUpToDate>false</LinksUpToDate>
  <CharactersWithSpaces>4846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2025-11-03T07:24:00Z</dcterms:created>
  <dc:creator>华采</dc:creator>
  <cp:lastModifiedBy>陕西华采招标有限公司</cp:lastModifiedBy>
  <dcterms:modified xsi:type="dcterms:W3CDTF">2025-11-14T03:48:11Z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6E711FE21C214260872573507B1B52E3_11</vt:lpwstr>
  </property>
  <property fmtid="{D5CDD505-2E9C-101B-9397-08002B2CF9AE}" pid="4" name="KSOTemplateDocerSaveRecord">
    <vt:lpwstr>eyJoZGlkIjoiZWMxNWU5MTM1NDJhMzM3NzZlNjAyMmRiMjcyMmY4OWYiLCJ1c2VySWQiOiI5MzY1NjA0ODAifQ==</vt:lpwstr>
  </property>
</Properties>
</file>