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版本号：SXDZ2025-ZC-CS04120251113001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2025年度耕地和永久基本农田审核统计汇总项目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SXDZ2025-ZC-CS041</w:t>
      </w:r>
      <w:r>
        <w:br/>
      </w:r>
      <w:r>
        <w:br/>
      </w:r>
      <w:r>
        <w:br/>
      </w:r>
    </w:p>
    <w:p>
      <w:pPr>
        <w:pStyle w:val="null3"/>
        <w:jc w:val="center"/>
        <w:outlineLvl w:val="2"/>
      </w:pPr>
      <w:r>
        <w:rPr>
          <w:rFonts w:ascii="仿宋_GB2312" w:hAnsi="仿宋_GB2312" w:cs="仿宋_GB2312" w:eastAsia="仿宋_GB2312"/>
          <w:sz w:val="28"/>
          <w:b/>
        </w:rPr>
        <w:t>西安市自然资源和规划局（本级）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2025年度耕地和永久基本农田审核统计汇总项目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2025年度耕地和永久基本农田审核统计汇总项目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自然资源厅《关于严格耕地用途管制的实施意见》（陕自然资发〔2022〕52号）要求，为切实加强耕地和永久基本农田管理，对各类项目占用耕地和永久基本农田合规性、合理性进行审查，定期对耕地和永久基本农田变化情况进行套核分析，确保耕地和永久基本农田总量稳定，顺利通过国家考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采购包1（2025年度耕地和永久基本农田审核统计汇总项目）：属于专门面向中小企业采购。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1、磋商主体证明文件：具有独立承担民事责任能力的法人、其他组织或自然人，并出具合法有效的营业执照或事业单位法人证书等国家规定的相关证明，自然人参与的提供其身份证明书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2、资质要求：供应商须具备土地规划乙级及以上资质。</w:t>
      </w:r>
    </w:p>
    <w:p>
      <w:pPr>
        <w:pStyle w:val="null3"/>
      </w:pPr>
      <w:r>
        <w:rPr>
          <w:rFonts w:ascii="仿宋_GB2312" w:hAnsi="仿宋_GB2312" w:cs="仿宋_GB2312" w:eastAsia="仿宋_GB2312"/>
        </w:rPr>
        <w:t>3、法定代表人身份证明/法定代表人授权委托书：法定代表人参加磋商的，须出具法定代表人身份证明书及身份证。法定代表人授权委托人参加磋商的，须出具法定代表人授权委托书及授权委托人身份证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4、财务状况：提供2024年度经审计的财务报告（成立时间至响应文件递交截止时间不足一年的可提供成立后任意时段的资产负债表），或提供响应文递交截止日前三个月内其基本存款账户开户银行出具的资信证明</w:t>
      </w:r>
    </w:p>
    <w:p>
      <w:pPr>
        <w:pStyle w:val="null3"/>
      </w:pPr>
      <w:r>
        <w:rPr>
          <w:rFonts w:ascii="仿宋_GB2312" w:hAnsi="仿宋_GB2312" w:cs="仿宋_GB2312" w:eastAsia="仿宋_GB2312"/>
        </w:rPr>
        <w:t>5、依法缴纳税收的证明：提供递交响应文件截止之日前一年内任意一个月的依法缴纳税收的相关凭据（时间以税款所属日期为准），依法免税或无须缴纳税收的供应商，应提供相应证明文件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6、依法缴纳社保的证明：依法缴纳社保的证明：提供递交响应文件截止之日前一年内任意一个月的社会保障资金缴纳证明，依法不需要缴纳社会保障资金的供应商应提供相关文件证明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7、无重大违法记录的声明：参加政府采购活动前3年内在经营活动中没有重大违法记录的书面声明。</w:t>
      </w:r>
    </w:p>
    <w:p>
      <w:pPr>
        <w:pStyle w:val="null3"/>
      </w:pPr>
      <w:r>
        <w:rPr>
          <w:rFonts w:ascii="仿宋_GB2312" w:hAnsi="仿宋_GB2312" w:cs="仿宋_GB2312" w:eastAsia="仿宋_GB2312"/>
        </w:rPr>
        <w:t>8、具备履行合同所必需的设备和专业技术能力的证明材料：供应商需在项目电子化交易系统中提供具备履行合同所必需的设备和专业技术能力的承诺并进行电子签章</w:t>
      </w:r>
    </w:p>
    <w:p>
      <w:pPr>
        <w:pStyle w:val="null3"/>
      </w:pPr>
      <w:r>
        <w:rPr>
          <w:rFonts w:ascii="仿宋_GB2312" w:hAnsi="仿宋_GB2312" w:cs="仿宋_GB2312" w:eastAsia="仿宋_GB2312"/>
        </w:rPr>
        <w:t>9、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pPr>
        <w:pStyle w:val="null3"/>
      </w:pPr>
      <w:r>
        <w:rPr>
          <w:rFonts w:ascii="仿宋_GB2312" w:hAnsi="仿宋_GB2312" w:cs="仿宋_GB2312" w:eastAsia="仿宋_GB2312"/>
        </w:rPr>
        <w:t>10、控股管理关系及其他：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11、中小企业说明：本项目不接受联合体磋商。本项目专门面向中小企业采购，供应商应为中型企业或小型、微型企业/监狱企业/残疾人福利性单位。属于中小微企业的，供应商须提供《中小企业声明函》；供应商为监狱企业的，应提供监狱企业的证明文件；供应商为残疾人福利性单位的，应提供《残疾人福利性单位声明函》。监狱企业/残疾人福利性单位均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陕西省西安市莲湖区御笔城市广场2号电梯408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缴纳账户如下：户名：：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地址：陕西省西安市莲湖区御笔城市广场2号电梯408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2"/>
        </w:rPr>
        <w:t>按照省自然资源厅《关于严格耕地用途管制的实施意见》（陕自然资发〔</w:t>
      </w:r>
      <w:r>
        <w:rPr>
          <w:rFonts w:ascii="仿宋_GB2312" w:hAnsi="仿宋_GB2312" w:cs="仿宋_GB2312" w:eastAsia="仿宋_GB2312"/>
          <w:sz w:val="22"/>
        </w:rPr>
        <w:t>2022〕52号）要求，为切实加强耕地和永久基本农田管理，对各类项目占用耕地和永久基本农田合规性、合理性进行审查，定期对耕地和永久基本农田变化情况进行套核分析，确保耕地和永久基本农田总量稳定，顺利通过国家考核</w:t>
      </w:r>
      <w:r>
        <w:rPr>
          <w:rFonts w:ascii="仿宋_GB2312" w:hAnsi="仿宋_GB2312" w:cs="仿宋_GB2312" w:eastAsia="仿宋_GB2312"/>
          <w:sz w:val="22"/>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1,198,400.00</w:t>
      </w:r>
    </w:p>
    <w:p>
      <w:pPr>
        <w:pStyle w:val="null3"/>
      </w:pPr>
      <w:r>
        <w:rPr>
          <w:rFonts w:ascii="仿宋_GB2312" w:hAnsi="仿宋_GB2312" w:cs="仿宋_GB2312" w:eastAsia="仿宋_GB2312"/>
        </w:rPr>
        <w:t>采购包最高限价（元）: 1,198,400.00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2025年度耕地和永久基本农田审核统计汇总项目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标的名称：2025年度耕地和永久基本农田审核统计汇总项目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1"/>
              <w:jc w:val="both"/>
            </w:pPr>
            <w:r>
              <w:rPr>
                <w:rFonts w:ascii="仿宋_GB2312" w:hAnsi="仿宋_GB2312" w:cs="仿宋_GB2312" w:eastAsia="仿宋_GB2312"/>
                <w:sz w:val="22"/>
                <w:b/>
              </w:rPr>
              <w:t>一、项目概况</w:t>
            </w:r>
          </w:p>
          <w:p>
            <w:pPr>
              <w:pStyle w:val="null3"/>
              <w:ind w:firstLine="440"/>
              <w:jc w:val="both"/>
            </w:pPr>
            <w:r>
              <w:rPr>
                <w:rFonts w:ascii="仿宋_GB2312" w:hAnsi="仿宋_GB2312" w:cs="仿宋_GB2312" w:eastAsia="仿宋_GB2312"/>
                <w:sz w:val="22"/>
              </w:rPr>
              <w:t>按照省自然资源厅《关于严格耕地用途管制的实施意见》（陕自然资发〔2022〕52号）要求，为切实加强耕地和永久基本农田管理，对各类项目占用耕地和永久基本农田合规性、合理性进行审查，定期对耕地和永久基本农田变化情况进行套核分析，确保耕地和永久基本农田总量稳定，顺利通过国家考核</w:t>
            </w:r>
            <w:r>
              <w:rPr>
                <w:rFonts w:ascii="仿宋_GB2312" w:hAnsi="仿宋_GB2312" w:cs="仿宋_GB2312" w:eastAsia="仿宋_GB2312"/>
                <w:sz w:val="22"/>
              </w:rPr>
              <w:t>。</w:t>
            </w:r>
          </w:p>
          <w:p>
            <w:pPr>
              <w:pStyle w:val="null3"/>
              <w:ind w:firstLine="441"/>
              <w:jc w:val="both"/>
            </w:pPr>
            <w:r>
              <w:rPr>
                <w:rFonts w:ascii="仿宋_GB2312" w:hAnsi="仿宋_GB2312" w:cs="仿宋_GB2312" w:eastAsia="仿宋_GB2312"/>
                <w:sz w:val="22"/>
                <w:b/>
              </w:rPr>
              <w:t>二、服务内容</w:t>
            </w:r>
          </w:p>
          <w:p>
            <w:pPr>
              <w:pStyle w:val="null3"/>
              <w:ind w:firstLine="440"/>
              <w:jc w:val="both"/>
            </w:pPr>
            <w:r>
              <w:rPr>
                <w:rFonts w:ascii="仿宋_GB2312" w:hAnsi="仿宋_GB2312" w:cs="仿宋_GB2312" w:eastAsia="仿宋_GB2312"/>
                <w:sz w:val="22"/>
              </w:rPr>
              <w:t>（1）工作</w:t>
            </w:r>
            <w:r>
              <w:rPr>
                <w:rFonts w:ascii="仿宋_GB2312" w:hAnsi="仿宋_GB2312" w:cs="仿宋_GB2312" w:eastAsia="仿宋_GB2312"/>
                <w:sz w:val="22"/>
              </w:rPr>
              <w:t>区域</w:t>
            </w:r>
            <w:r>
              <w:rPr>
                <w:rFonts w:ascii="仿宋_GB2312" w:hAnsi="仿宋_GB2312" w:cs="仿宋_GB2312" w:eastAsia="仿宋_GB2312"/>
                <w:sz w:val="22"/>
              </w:rPr>
              <w:t>：</w:t>
            </w:r>
            <w:r>
              <w:rPr>
                <w:rFonts w:ascii="仿宋_GB2312" w:hAnsi="仿宋_GB2312" w:cs="仿宋_GB2312" w:eastAsia="仿宋_GB2312"/>
                <w:sz w:val="22"/>
              </w:rPr>
              <w:t>西安市13个行政区县及西咸新区(直管区)咸阳部分</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（2）工作内容：</w:t>
            </w:r>
            <w:r>
              <w:rPr>
                <w:rFonts w:ascii="仿宋_GB2312" w:hAnsi="仿宋_GB2312" w:cs="仿宋_GB2312" w:eastAsia="仿宋_GB2312"/>
                <w:sz w:val="22"/>
              </w:rPr>
              <w:t>包括1）涉及项目占用永久基本农田补划方案审核：主要包括对各类项目占用永久基本农田情况分析审核及统计汇总。2）涉及违法违规占用耕地和永久基本农田的技术分析和审查：主要包括各类用地违法占用耕地和永久基本农田情况分析审查。3）耕地和永久基本农田监督管理、日常动态变化分析：主要包括定期对耕地和永久基本农田的变化、流入流出、各类管控数据冲突、耕地保护考核情况进行分析</w:t>
            </w:r>
            <w:r>
              <w:rPr>
                <w:rFonts w:ascii="仿宋_GB2312" w:hAnsi="仿宋_GB2312" w:cs="仿宋_GB2312" w:eastAsia="仿宋_GB2312"/>
                <w:sz w:val="22"/>
              </w:rPr>
              <w:t>、永久基本农田情况摸底、储备库划定</w:t>
            </w:r>
            <w:r>
              <w:rPr>
                <w:rFonts w:ascii="仿宋_GB2312" w:hAnsi="仿宋_GB2312" w:cs="仿宋_GB2312" w:eastAsia="仿宋_GB2312"/>
                <w:sz w:val="22"/>
              </w:rPr>
              <w:t>等。4）耕地占补平衡情况技术分析和审查：主要包括耕地占补平衡补充耕地指标核定任务分解，以及历史流出耕地过渡期恢复方案摸底调查等</w:t>
            </w:r>
            <w:r>
              <w:rPr>
                <w:rFonts w:ascii="仿宋_GB2312" w:hAnsi="仿宋_GB2312" w:cs="仿宋_GB2312" w:eastAsia="仿宋_GB2312"/>
                <w:sz w:val="22"/>
              </w:rPr>
              <w:t>。</w:t>
            </w:r>
          </w:p>
          <w:p>
            <w:pPr>
              <w:pStyle w:val="null3"/>
              <w:ind w:firstLine="441"/>
            </w:pPr>
            <w:r>
              <w:rPr>
                <w:rFonts w:ascii="仿宋_GB2312" w:hAnsi="仿宋_GB2312" w:cs="仿宋_GB2312" w:eastAsia="仿宋_GB2312"/>
                <w:sz w:val="22"/>
                <w:b/>
              </w:rPr>
              <w:t>三、技术要求</w:t>
            </w:r>
          </w:p>
          <w:p>
            <w:pPr>
              <w:pStyle w:val="null3"/>
              <w:ind w:firstLine="440"/>
              <w:jc w:val="both"/>
            </w:pPr>
            <w:r>
              <w:rPr>
                <w:rFonts w:ascii="仿宋_GB2312" w:hAnsi="仿宋_GB2312" w:cs="仿宋_GB2312" w:eastAsia="仿宋_GB2312"/>
                <w:sz w:val="22"/>
              </w:rPr>
              <w:t>1.熟悉部、省、市关于耕地保护相关的政策要求；</w:t>
            </w:r>
          </w:p>
          <w:p>
            <w:pPr>
              <w:pStyle w:val="null3"/>
              <w:ind w:firstLine="440"/>
              <w:jc w:val="both"/>
            </w:pPr>
            <w:r>
              <w:rPr>
                <w:rFonts w:ascii="仿宋_GB2312" w:hAnsi="仿宋_GB2312" w:cs="仿宋_GB2312" w:eastAsia="仿宋_GB2312"/>
                <w:sz w:val="22"/>
              </w:rPr>
              <w:t>2.熟悉西安市各区县耕地和永久基本农田分布情况，有一定的国土空间规划、国土调查、耕地和永久基本农田核实处置等相关工作基础；</w:t>
            </w:r>
          </w:p>
          <w:p>
            <w:pPr>
              <w:pStyle w:val="null3"/>
              <w:ind w:firstLine="440"/>
              <w:jc w:val="both"/>
            </w:pPr>
            <w:r>
              <w:rPr>
                <w:rFonts w:ascii="仿宋_GB2312" w:hAnsi="仿宋_GB2312" w:cs="仿宋_GB2312" w:eastAsia="仿宋_GB2312"/>
                <w:sz w:val="22"/>
              </w:rPr>
              <w:t>3.熟练运用数据库建设、审核、质检等相关专业软件</w:t>
            </w:r>
            <w:r>
              <w:rPr>
                <w:rFonts w:ascii="仿宋_GB2312" w:hAnsi="仿宋_GB2312" w:cs="仿宋_GB2312" w:eastAsia="仿宋_GB2312"/>
                <w:sz w:val="22"/>
              </w:rPr>
              <w:t>。</w:t>
            </w:r>
          </w:p>
          <w:p>
            <w:pPr>
              <w:pStyle w:val="null3"/>
              <w:ind w:firstLine="441"/>
            </w:pPr>
            <w:r>
              <w:rPr>
                <w:rFonts w:ascii="仿宋_GB2312" w:hAnsi="仿宋_GB2312" w:cs="仿宋_GB2312" w:eastAsia="仿宋_GB2312"/>
                <w:sz w:val="22"/>
                <w:b/>
              </w:rPr>
              <w:t>四、服务要求</w:t>
            </w:r>
          </w:p>
          <w:p>
            <w:pPr>
              <w:pStyle w:val="null3"/>
              <w:ind w:firstLine="440"/>
              <w:jc w:val="both"/>
            </w:pPr>
            <w:r>
              <w:rPr>
                <w:rFonts w:ascii="仿宋_GB2312" w:hAnsi="仿宋_GB2312" w:cs="仿宋_GB2312" w:eastAsia="仿宋_GB2312"/>
                <w:sz w:val="22"/>
              </w:rPr>
              <w:t>1.人员配置：拟投入项目团队知识构架要全面，团队人员需具有土地、规划、农业、测绘、地理信息等技术能力，同时需全面掌握耕地保护相关政策要求，熟练运用ArcGIS等相关专业软件，技术人员具备随时在线进行技术指导工作的能力。</w:t>
            </w:r>
          </w:p>
          <w:p>
            <w:pPr>
              <w:pStyle w:val="null3"/>
              <w:ind w:firstLine="440"/>
              <w:jc w:val="both"/>
            </w:pPr>
            <w:r>
              <w:rPr>
                <w:rFonts w:ascii="仿宋_GB2312" w:hAnsi="仿宋_GB2312" w:cs="仿宋_GB2312" w:eastAsia="仿宋_GB2312"/>
                <w:sz w:val="22"/>
              </w:rPr>
              <w:t>2.专业设备：具有履行本项目所必需的专业设备和技术能力。</w:t>
            </w:r>
          </w:p>
          <w:p>
            <w:pPr>
              <w:pStyle w:val="null3"/>
              <w:ind w:firstLine="440"/>
              <w:jc w:val="both"/>
            </w:pPr>
            <w:r>
              <w:rPr>
                <w:rFonts w:ascii="仿宋_GB2312" w:hAnsi="仿宋_GB2312" w:cs="仿宋_GB2312" w:eastAsia="仿宋_GB2312"/>
                <w:sz w:val="22"/>
              </w:rPr>
              <w:t>3.服务标准：提交成果符合陕西省自然资源厅印发《关于做好重大建设项目占用永久基本农田有关问题的通知》（陕自然资耕发〔2020〕1号）</w:t>
            </w:r>
            <w:r>
              <w:rPr>
                <w:rFonts w:ascii="仿宋_GB2312" w:hAnsi="仿宋_GB2312" w:cs="仿宋_GB2312" w:eastAsia="仿宋_GB2312"/>
                <w:sz w:val="22"/>
              </w:rPr>
              <w:t>、陕西省自然资源厅、陕西省农业农村厅、陕西省林业局联合印发《关于严格耕地用途管制的实施意见》（陕自然资发〔2022〕52号）、自然资源部、农业农村部联合印发《关于改革完善耕地占补平衡管理的通知》（自然资发〔2024〕204号）</w:t>
            </w:r>
            <w:r>
              <w:rPr>
                <w:rFonts w:ascii="仿宋_GB2312" w:hAnsi="仿宋_GB2312" w:cs="仿宋_GB2312" w:eastAsia="仿宋_GB2312"/>
                <w:sz w:val="22"/>
              </w:rPr>
              <w:t>等文件中对耕地和永久基本农田保护工作实施的相关服务标准，确保技术服务成果的科学性、合理性、准确性。</w:t>
            </w:r>
          </w:p>
          <w:p>
            <w:pPr>
              <w:pStyle w:val="null3"/>
              <w:ind w:firstLine="441"/>
            </w:pPr>
            <w:r>
              <w:rPr>
                <w:rFonts w:ascii="仿宋_GB2312" w:hAnsi="仿宋_GB2312" w:cs="仿宋_GB2312" w:eastAsia="仿宋_GB2312"/>
                <w:sz w:val="22"/>
                <w:b/>
              </w:rPr>
              <w:t>五、商务要求</w:t>
            </w:r>
          </w:p>
          <w:p>
            <w:pPr>
              <w:pStyle w:val="null3"/>
              <w:ind w:firstLine="440"/>
              <w:jc w:val="both"/>
            </w:pPr>
            <w:r>
              <w:rPr>
                <w:rFonts w:ascii="仿宋_GB2312" w:hAnsi="仿宋_GB2312" w:cs="仿宋_GB2312" w:eastAsia="仿宋_GB2312"/>
                <w:sz w:val="22"/>
              </w:rPr>
              <w:t>（1）</w:t>
            </w:r>
            <w:r>
              <w:rPr>
                <w:rFonts w:ascii="仿宋_GB2312" w:hAnsi="仿宋_GB2312" w:cs="仿宋_GB2312" w:eastAsia="仿宋_GB2312"/>
                <w:sz w:val="22"/>
              </w:rPr>
              <w:t>服务期限：自</w:t>
            </w:r>
            <w:r>
              <w:rPr>
                <w:rFonts w:ascii="仿宋_GB2312" w:hAnsi="仿宋_GB2312" w:cs="仿宋_GB2312" w:eastAsia="仿宋_GB2312"/>
                <w:sz w:val="22"/>
              </w:rPr>
              <w:t>合同签订</w:t>
            </w:r>
            <w:r>
              <w:rPr>
                <w:rFonts w:ascii="仿宋_GB2312" w:hAnsi="仿宋_GB2312" w:cs="仿宋_GB2312" w:eastAsia="仿宋_GB2312"/>
                <w:sz w:val="22"/>
              </w:rPr>
              <w:t>之日起至202</w:t>
            </w:r>
            <w:r>
              <w:rPr>
                <w:rFonts w:ascii="仿宋_GB2312" w:hAnsi="仿宋_GB2312" w:cs="仿宋_GB2312" w:eastAsia="仿宋_GB2312"/>
                <w:sz w:val="22"/>
              </w:rPr>
              <w:t>5</w:t>
            </w:r>
            <w:r>
              <w:rPr>
                <w:rFonts w:ascii="仿宋_GB2312" w:hAnsi="仿宋_GB2312" w:cs="仿宋_GB2312" w:eastAsia="仿宋_GB2312"/>
                <w:sz w:val="22"/>
              </w:rPr>
              <w:t>年12月31日止。</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款项结算</w:t>
            </w:r>
          </w:p>
          <w:p>
            <w:pPr>
              <w:pStyle w:val="null3"/>
              <w:ind w:firstLine="440"/>
              <w:jc w:val="both"/>
            </w:pPr>
            <w:r>
              <w:rPr>
                <w:rFonts w:ascii="仿宋_GB2312" w:hAnsi="仿宋_GB2312" w:cs="仿宋_GB2312" w:eastAsia="仿宋_GB2312"/>
                <w:sz w:val="21"/>
              </w:rPr>
              <w:t>合同签订后，达到付款条件一个月内，支付合同总金额的60%； 2025年所有工作任务完成验收合格后，达到付款条件10日内，支付合同总金额的40%。</w:t>
            </w:r>
          </w:p>
          <w:p>
            <w:pPr>
              <w:pStyle w:val="null3"/>
              <w:ind w:firstLine="441"/>
            </w:pPr>
            <w:r>
              <w:rPr>
                <w:rFonts w:ascii="仿宋_GB2312" w:hAnsi="仿宋_GB2312" w:cs="仿宋_GB2312" w:eastAsia="仿宋_GB2312"/>
                <w:sz w:val="22"/>
                <w:b/>
              </w:rPr>
              <w:t>六、其他</w:t>
            </w:r>
          </w:p>
          <w:p>
            <w:pPr>
              <w:pStyle w:val="null3"/>
              <w:ind w:firstLine="441"/>
              <w:jc w:val="both"/>
            </w:pPr>
            <w:r>
              <w:rPr>
                <w:rFonts w:ascii="仿宋_GB2312" w:hAnsi="仿宋_GB2312" w:cs="仿宋_GB2312" w:eastAsia="仿宋_GB2312"/>
                <w:sz w:val="22"/>
                <w:b/>
              </w:rPr>
              <w:t>（一）业绩要求</w:t>
            </w:r>
          </w:p>
          <w:p>
            <w:pPr>
              <w:pStyle w:val="null3"/>
              <w:ind w:firstLine="440"/>
              <w:jc w:val="both"/>
            </w:pPr>
            <w:r>
              <w:rPr>
                <w:rFonts w:ascii="仿宋_GB2312" w:hAnsi="仿宋_GB2312" w:cs="仿宋_GB2312" w:eastAsia="仿宋_GB2312"/>
                <w:sz w:val="22"/>
              </w:rPr>
              <w:t>需具备国土空间规划、国土调查、耕地和永久基本农田核实处置等相关业绩。</w:t>
            </w:r>
          </w:p>
          <w:p>
            <w:pPr>
              <w:pStyle w:val="null3"/>
              <w:ind w:firstLine="441"/>
              <w:jc w:val="both"/>
            </w:pPr>
            <w:r>
              <w:rPr>
                <w:rFonts w:ascii="仿宋_GB2312" w:hAnsi="仿宋_GB2312" w:cs="仿宋_GB2312" w:eastAsia="仿宋_GB2312"/>
                <w:sz w:val="22"/>
                <w:b/>
              </w:rPr>
              <w:t>（二）质量要求</w:t>
            </w:r>
          </w:p>
          <w:p>
            <w:pPr>
              <w:pStyle w:val="null3"/>
              <w:ind w:firstLine="440"/>
              <w:jc w:val="both"/>
            </w:pPr>
            <w:r>
              <w:rPr>
                <w:rFonts w:ascii="仿宋_GB2312" w:hAnsi="仿宋_GB2312" w:cs="仿宋_GB2312" w:eastAsia="仿宋_GB2312"/>
                <w:sz w:val="22"/>
              </w:rPr>
              <w:t>成果质量合格，符合国家、省、市级要求</w:t>
            </w:r>
            <w:r>
              <w:rPr>
                <w:rFonts w:ascii="仿宋_GB2312" w:hAnsi="仿宋_GB2312" w:cs="仿宋_GB2312" w:eastAsia="仿宋_GB2312"/>
                <w:sz w:val="22"/>
              </w:rPr>
              <w:t>。</w:t>
            </w:r>
          </w:p>
          <w:p>
            <w:pPr>
              <w:pStyle w:val="null3"/>
              <w:ind w:firstLine="441"/>
              <w:jc w:val="both"/>
            </w:pPr>
            <w:r>
              <w:rPr>
                <w:rFonts w:ascii="仿宋_GB2312" w:hAnsi="仿宋_GB2312" w:cs="仿宋_GB2312" w:eastAsia="仿宋_GB2312"/>
                <w:sz w:val="22"/>
                <w:b/>
              </w:rPr>
              <w:t>（</w:t>
            </w:r>
            <w:r>
              <w:rPr>
                <w:rFonts w:ascii="仿宋_GB2312" w:hAnsi="仿宋_GB2312" w:cs="仿宋_GB2312" w:eastAsia="仿宋_GB2312"/>
                <w:sz w:val="22"/>
                <w:b/>
              </w:rPr>
              <w:t>三</w:t>
            </w:r>
            <w:r>
              <w:rPr>
                <w:rFonts w:ascii="仿宋_GB2312" w:hAnsi="仿宋_GB2312" w:cs="仿宋_GB2312" w:eastAsia="仿宋_GB2312"/>
                <w:sz w:val="22"/>
                <w:b/>
              </w:rPr>
              <w:t>）</w:t>
            </w:r>
            <w:r>
              <w:rPr>
                <w:rFonts w:ascii="仿宋_GB2312" w:hAnsi="仿宋_GB2312" w:cs="仿宋_GB2312" w:eastAsia="仿宋_GB2312"/>
                <w:sz w:val="22"/>
                <w:b/>
              </w:rPr>
              <w:t>交付成果</w:t>
            </w:r>
          </w:p>
          <w:p>
            <w:pPr>
              <w:pStyle w:val="null3"/>
              <w:ind w:firstLine="440"/>
              <w:jc w:val="both"/>
            </w:pPr>
            <w:r>
              <w:rPr>
                <w:rFonts w:ascii="仿宋_GB2312" w:hAnsi="仿宋_GB2312" w:cs="仿宋_GB2312" w:eastAsia="仿宋_GB2312"/>
                <w:sz w:val="22"/>
              </w:rPr>
              <w:t>1.涉及项目占用永久基本农田补划方案审核</w:t>
            </w:r>
          </w:p>
          <w:p>
            <w:pPr>
              <w:pStyle w:val="null3"/>
              <w:ind w:firstLine="440"/>
              <w:jc w:val="both"/>
            </w:pPr>
            <w:r>
              <w:rPr>
                <w:rFonts w:ascii="仿宋_GB2312" w:hAnsi="仿宋_GB2312" w:cs="仿宋_GB2312" w:eastAsia="仿宋_GB2312"/>
                <w:sz w:val="22"/>
              </w:rPr>
              <w:t>（1）文本成果：西安市各区县永久基本农田项目占用补划审核记录</w:t>
            </w:r>
          </w:p>
          <w:p>
            <w:pPr>
              <w:pStyle w:val="null3"/>
              <w:ind w:firstLine="440"/>
              <w:jc w:val="both"/>
            </w:pPr>
            <w:r>
              <w:rPr>
                <w:rFonts w:ascii="仿宋_GB2312" w:hAnsi="仿宋_GB2312" w:cs="仿宋_GB2312" w:eastAsia="仿宋_GB2312"/>
                <w:sz w:val="22"/>
              </w:rPr>
              <w:t>（2）表格成果：西安市永久基本农田项目占用补划情况表</w:t>
            </w:r>
          </w:p>
          <w:p>
            <w:pPr>
              <w:pStyle w:val="null3"/>
              <w:ind w:firstLine="440"/>
              <w:jc w:val="both"/>
            </w:pPr>
            <w:r>
              <w:rPr>
                <w:rFonts w:ascii="仿宋_GB2312" w:hAnsi="仿宋_GB2312" w:cs="仿宋_GB2312" w:eastAsia="仿宋_GB2312"/>
                <w:sz w:val="22"/>
              </w:rPr>
              <w:t>（3）数据库成果：西安市永久基本农田项目占用补划数据库</w:t>
            </w:r>
          </w:p>
          <w:p>
            <w:pPr>
              <w:pStyle w:val="null3"/>
              <w:ind w:firstLine="440"/>
              <w:jc w:val="both"/>
            </w:pPr>
            <w:r>
              <w:rPr>
                <w:rFonts w:ascii="仿宋_GB2312" w:hAnsi="仿宋_GB2312" w:cs="仿宋_GB2312" w:eastAsia="仿宋_GB2312"/>
                <w:sz w:val="22"/>
              </w:rPr>
              <w:t>2.涉及违法违规占用耕地和永久基本农田的技术分析和审查</w:t>
            </w:r>
          </w:p>
          <w:p>
            <w:pPr>
              <w:pStyle w:val="null3"/>
              <w:ind w:firstLine="440"/>
              <w:jc w:val="both"/>
            </w:pPr>
            <w:r>
              <w:rPr>
                <w:rFonts w:ascii="仿宋_GB2312" w:hAnsi="仿宋_GB2312" w:cs="仿宋_GB2312" w:eastAsia="仿宋_GB2312"/>
                <w:sz w:val="22"/>
              </w:rPr>
              <w:t>表格成果：西安市各类用地违法占用耕地和永久基本农田情况表</w:t>
            </w:r>
          </w:p>
          <w:p>
            <w:pPr>
              <w:pStyle w:val="null3"/>
              <w:ind w:firstLine="440"/>
              <w:jc w:val="both"/>
            </w:pPr>
            <w:r>
              <w:rPr>
                <w:rFonts w:ascii="仿宋_GB2312" w:hAnsi="仿宋_GB2312" w:cs="仿宋_GB2312" w:eastAsia="仿宋_GB2312"/>
                <w:sz w:val="22"/>
              </w:rPr>
              <w:t>3.耕地和永久基本农田监督管理、日常动态变化分析</w:t>
            </w:r>
          </w:p>
          <w:p>
            <w:pPr>
              <w:pStyle w:val="null3"/>
              <w:ind w:firstLine="440"/>
              <w:jc w:val="both"/>
            </w:pPr>
            <w:r>
              <w:rPr>
                <w:rFonts w:ascii="仿宋_GB2312" w:hAnsi="仿宋_GB2312" w:cs="仿宋_GB2312" w:eastAsia="仿宋_GB2312"/>
                <w:sz w:val="22"/>
              </w:rPr>
              <w:t>（1）表格成果：耕地和永久基本农田各类变化情况、耕地流入流出变化情况表等各类动态分析表格、永久基本农田调整需求摸底表</w:t>
            </w:r>
            <w:r>
              <w:rPr>
                <w:rFonts w:ascii="仿宋_GB2312" w:hAnsi="仿宋_GB2312" w:cs="仿宋_GB2312" w:eastAsia="仿宋_GB2312"/>
                <w:sz w:val="22"/>
              </w:rPr>
              <w:t>、永久基本农田储备库分类型统计表</w:t>
            </w:r>
          </w:p>
          <w:p>
            <w:pPr>
              <w:pStyle w:val="null3"/>
              <w:ind w:firstLine="440"/>
              <w:jc w:val="both"/>
            </w:pPr>
            <w:r>
              <w:rPr>
                <w:rFonts w:ascii="仿宋_GB2312" w:hAnsi="仿宋_GB2312" w:cs="仿宋_GB2312" w:eastAsia="仿宋_GB2312"/>
                <w:sz w:val="22"/>
              </w:rPr>
              <w:t>（2）图件成果：西安市各区县耕地和永久基本农田保护图集</w:t>
            </w:r>
          </w:p>
          <w:p>
            <w:pPr>
              <w:pStyle w:val="null3"/>
              <w:ind w:firstLine="440"/>
              <w:jc w:val="both"/>
            </w:pPr>
            <w:r>
              <w:rPr>
                <w:rFonts w:ascii="仿宋_GB2312" w:hAnsi="仿宋_GB2312" w:cs="仿宋_GB2312" w:eastAsia="仿宋_GB2312"/>
                <w:sz w:val="22"/>
              </w:rPr>
              <w:t>（3）数据库成果：西安市永久基本农田调整需求摸底数据库</w:t>
            </w:r>
            <w:r>
              <w:rPr>
                <w:rFonts w:ascii="仿宋_GB2312" w:hAnsi="仿宋_GB2312" w:cs="仿宋_GB2312" w:eastAsia="仿宋_GB2312"/>
                <w:sz w:val="22"/>
              </w:rPr>
              <w:t>、永久基本农田储备库数据库</w:t>
            </w:r>
          </w:p>
          <w:p>
            <w:pPr>
              <w:pStyle w:val="null3"/>
              <w:ind w:firstLine="440"/>
              <w:jc w:val="both"/>
            </w:pPr>
            <w:r>
              <w:rPr>
                <w:rFonts w:ascii="仿宋_GB2312" w:hAnsi="仿宋_GB2312" w:cs="仿宋_GB2312" w:eastAsia="仿宋_GB2312"/>
                <w:sz w:val="22"/>
              </w:rPr>
              <w:t>4.耕地占补平衡情况技术分析和审查</w:t>
            </w:r>
          </w:p>
          <w:p>
            <w:pPr>
              <w:pStyle w:val="null3"/>
              <w:ind w:firstLine="440"/>
              <w:jc w:val="both"/>
            </w:pPr>
            <w:r>
              <w:rPr>
                <w:rFonts w:ascii="仿宋_GB2312" w:hAnsi="仿宋_GB2312" w:cs="仿宋_GB2312" w:eastAsia="仿宋_GB2312"/>
                <w:sz w:val="22"/>
              </w:rPr>
              <w:t>（1）文本成果：西安市耕地恢复方案</w:t>
            </w:r>
          </w:p>
          <w:p>
            <w:pPr>
              <w:pStyle w:val="null3"/>
              <w:ind w:firstLine="440"/>
              <w:jc w:val="both"/>
            </w:pPr>
            <w:r>
              <w:rPr>
                <w:rFonts w:ascii="仿宋_GB2312" w:hAnsi="仿宋_GB2312" w:cs="仿宋_GB2312" w:eastAsia="仿宋_GB2312"/>
                <w:sz w:val="22"/>
              </w:rPr>
              <w:t>（2）表格成果：西安市耕地“占补平衡”指标核定统计表、耕地过渡期恢复方案调查汇总表</w:t>
            </w:r>
          </w:p>
          <w:p>
            <w:pPr>
              <w:pStyle w:val="null3"/>
              <w:ind w:firstLine="440"/>
              <w:jc w:val="both"/>
            </w:pPr>
            <w:r>
              <w:rPr>
                <w:rFonts w:ascii="仿宋_GB2312" w:hAnsi="仿宋_GB2312" w:cs="仿宋_GB2312" w:eastAsia="仿宋_GB2312"/>
                <w:sz w:val="22"/>
              </w:rPr>
              <w:t>（3）数据库成果：</w:t>
            </w:r>
            <w:r>
              <w:rPr>
                <w:rFonts w:ascii="仿宋_GB2312" w:hAnsi="仿宋_GB2312" w:cs="仿宋_GB2312" w:eastAsia="仿宋_GB2312"/>
                <w:sz w:val="22"/>
              </w:rPr>
              <w:t>西安市</w:t>
            </w:r>
            <w:r>
              <w:rPr>
                <w:rFonts w:ascii="仿宋_GB2312" w:hAnsi="仿宋_GB2312" w:cs="仿宋_GB2312" w:eastAsia="仿宋_GB2312"/>
                <w:sz w:val="22"/>
              </w:rPr>
              <w:t>历史流出耕地分类处置矢量数据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成果质量合格，符合国家、省、市级要求。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2025年所有工作任务完成验收合格后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若供应商拒绝、无法修复或修复后仍不合格，采购方有权视情况扣减相应费用、单方解除合同，并要求供应商赔偿损失；因本合同引起的任何争议，双方应首先通过友好协商解决。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2、请成交供应商在领取成交通知书时，向招标代理机构递交纸质版响应文件（纸质文件与线上评审电子文件保持一致）正本壹份、副本贰份，电子版响应文件（U盘）贰份。 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供应商须具备土地规划乙级及以上资质。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提供2024年度经审计的财务报告（成立时间至响应文件递交截止时间不足一年的可提供成立后任意时段的资产负债表），或提供响应文递交截止日前三个月内其基本存款账户开户银行出具的资信证明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依法缴纳税收的证明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依法缴纳社保的证明</w:t>
            </w:r>
          </w:p>
        </w:tc>
        <w:tc>
          <w:tcPr>
            <w:tcW w:type="dxa" w:w="3322"/>
          </w:tcPr>
          <w:p>
            <w:pPr>
              <w:pStyle w:val="null3"/>
            </w:pPr>
            <w:r>
              <w:rPr>
                <w:rFonts w:ascii="仿宋_GB2312" w:hAnsi="仿宋_GB2312" w:cs="仿宋_GB2312" w:eastAsia="仿宋_GB2312"/>
              </w:rPr>
              <w:t>依法缴纳社保的证明：提供递交响应文件截止之日前一年内任意一个月的社会保障资金缴纳证明，依法不需要缴纳社会保障资金的供应商应提供相关文件证明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供应商需在项目电子化交易系统中提供具备履行合同所必需的设备和专业技术能力的承诺并进行电子签章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控股管理关系及其他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中小企业说明</w:t>
            </w:r>
          </w:p>
        </w:tc>
        <w:tc>
          <w:tcPr>
            <w:tcW w:type="dxa" w:w="3322"/>
          </w:tcPr>
          <w:p>
            <w:pPr>
              <w:pStyle w:val="null3"/>
            </w:pPr>
            <w:r>
              <w:rPr>
                <w:rFonts w:ascii="仿宋_GB2312" w:hAnsi="仿宋_GB2312" w:cs="仿宋_GB2312" w:eastAsia="仿宋_GB2312"/>
              </w:rPr>
              <w:t>本项目不接受联合体磋商。本项目专门面向中小企业采购，供应商应为中型企业或小型、微型企业/监狱企业/残疾人福利性单位。属于中小微企业的，供应商须提供《中小企业声明函》；供应商为监狱企业的，应提供监狱企业的证明文件；供应商为残疾人福利性单位的，应提供《残疾人福利性单位声明函》。监狱企业/残疾人福利性单位均视同小型、微型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中小企业声明函 报价表 类似业绩一览表.docx 商务、技术偏离表.docx 资格证明文件.docx 其他相关资料.docx 响应文件封面 分项报价表.docx 拟在本项目投入设备、仪器情况一览表.docx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中小企业声明函 报价表 类似业绩一览表.docx 商务、技术偏离表.docx 资格证明文件.docx 其他相关资料.docx 响应文件封面 分项报价表.docx 拟在本项目投入设备、仪器情况一览表.docx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中小企业声明函 报价表 类似业绩一览表.docx 商务、技术偏离表.docx 资格证明文件.docx 其他相关资料.docx 响应文件封面 分项报价表.docx 拟在本项目投入设备、仪器情况一览表.docx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完全响应，且不能有采购人不能接受的附加条件</w:t>
            </w:r>
          </w:p>
        </w:tc>
        <w:tc>
          <w:tcPr>
            <w:tcW w:type="dxa" w:w="1661"/>
          </w:tcPr>
          <w:p>
            <w:pPr>
              <w:pStyle w:val="null3"/>
            </w:pPr>
            <w:r>
              <w:rPr>
                <w:rFonts w:ascii="仿宋_GB2312" w:hAnsi="仿宋_GB2312" w:cs="仿宋_GB2312" w:eastAsia="仿宋_GB2312"/>
              </w:rPr>
              <w:t>中小企业声明函 报价表 类似业绩一览表.docx 商务、技术偏离表.docx 资格证明文件.docx 其他相关资料.docx 响应文件封面 分项报价表.docx 拟在本项目投入设备、仪器情况一览表.docx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服务方案 商务、技术偏离表.docx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①服务内容分析及目标②服务工作范围及工作方法③重难点分析及解决方案 二、评审标准 ①完整性：方案须全面，对评审内容中的各项要求有详细描述及投标方案说明； ②可实施性：切合本项目实际情况，实施步骤清晰、合理； ③针对性：方案能够紧扣项目实际情况，内容科学合理。 三、赋分标准 ①服务内容分析及目标 ：每完全满足一项评审标准得1分，存在瑕疵得0.5分，满分3分； ②服务工作范围及工作方法 ：每完全满足一项评审标准得1分， 存在瑕疵得0.5分，满分3分； ③重难点分析及解决方案 ：每完全满足一项评审标准得1分，存在瑕疵得0.5分，满分3分。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提出针对本项目的审核方案，内容包括： ①涉及项目占用永久基本农田补划方案审核 ②涉及违法违规占用耕地和永久基本农田的技术分析和审查 ③耕地和永久基本农田监督管理、日常动态变化分析④耕地占补平衡情况技术分析和审查 二、评审标准 1、完整性：方案须全面，对评审内容中的各项要求有详细描述及 说明； 2、可实施性：切合本项目实际情况，实施步骤清晰、合理； 3、针对性：方案能够紧扣项目实际情况，内容科学合理。 三、赋分标准（满分12分） ①涉及项目占用永久基本农田补划方案审核 ：每完全满足一项评审标准得1分，存在瑕疵得0.5分，满分3分； ②涉及违法违规占用耕地和永久基本农田的技术分析和审查：每完全满足一项评审标准得1分，存在瑕疵得0.5分，满分3 分； ③耕地和永久基本农田监督管理、日常动态变化分析：每完全满足一项评审标准得1分，存在瑕疵得0.5分，满分3分；④耕地占补平衡情况技术分析和审查：每完全满足一项评审标准得1分，存在瑕疵得0.5分，满分3分；瑕疵是指存在不完全满足评分标准，但项目仍可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项目进度计划及保障</w:t>
            </w:r>
          </w:p>
        </w:tc>
        <w:tc>
          <w:tcPr>
            <w:tcW w:type="dxa" w:w="2492"/>
          </w:tcPr>
          <w:p>
            <w:pPr>
              <w:pStyle w:val="null3"/>
            </w:pPr>
            <w:r>
              <w:rPr>
                <w:rFonts w:ascii="仿宋_GB2312" w:hAnsi="仿宋_GB2312" w:cs="仿宋_GB2312" w:eastAsia="仿宋_GB2312"/>
              </w:rPr>
              <w:t>提出针对本项目的进度计划安排及保障措施，根据供应商所描述计划的完整性、可实施性、针对性进行评审。 项目进度计划及保障同时满足完整性、可实施性、针对性三项评审标准的，得8分； 项目进度计划及保障的完整性、可实施性、针对性其中有一项评审标准有瑕疵，得6分； 项目进度计划及保障的完整性、可实施性、针对性其中有两项评审标准有瑕疵，得4分； 项目进度计划及保障的完整性、可实施性、针对性其中有三项评审标准均有瑕疵，得2分； 其他或未提供得不得分。 瑕疵是指存在不完全满足评分标准，但项目仍可实施。</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提出针对本项目的应急保障服务方案，包含①安全事件应急预案②数据故障应急预案 二、评审标准 1、完整性：方案须全面，对评审内容中的各项要求有详细描述及说明； 2、可实施性：切合本项目实际情况，实施步骤清晰、合理； 3、针对性：方案能够紧扣项目实际情况，内容科学合理。 三、赋分标准（满分6分） ①安全事件应急预案：每完全满足一项评审标准得1分，存在瑕疵得0.5分，满分3分； ② 数据故障应急预案：每完全满足一项评审标准得1分，存在瑕疵得0.5分，满分3分。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瑕疵是指存在不完全满足评分标准，但项目仍可实施。一、评审内容 提出针对本项目的人员管理方案，方案包含： ①工作标准：具有岗位工作标准、服务质量标准 ②内控制度：问责机制、监督机制、自查制度 ③人员管理制度：具有员工日常管理办法、请销假制度、奖惩措施、激励机制。 二、评审标准 1、完整性：方案须全面，对评审内容中的各项要求有详细描述及说明； 2、可实施性：切合本项目实际情况，实施步骤清晰、合理； 3、针对性：方案能够紧扣项目实际情况，内容科学合理。 三、赋分标准（满分9分） ①工作标准：每完全满足一个评审标准得1分，存在瑕疵得0.5分，满分3分； ②内控制度：每完全满足一个评审标准得1分，存在瑕疵得0.5分，满分3分； ③人员管理制度：每完全满足一个评审标准得1分，存在瑕疵得0.5分，满分3分。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项目团队人员中（不含项目负责人）（包含但不限于土地、规划、农业、测绘、地理信息等）中级及以上工程师职称的，每提供1个得1分，满分10分。 以上人员须提供人员稳定在职证明（如劳动合同或社保缴纳证明），不提供不得分。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拟派项目负责人具有国土规划类高级工程师的得3分；中级工程师的，得1分；不提供不得分。 以上人员须提供人员稳定在职证明（如劳动合同或社保缴纳证明），不提供不得分。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安全、保密、质量管理方案</w:t>
            </w:r>
          </w:p>
        </w:tc>
        <w:tc>
          <w:tcPr>
            <w:tcW w:type="dxa" w:w="2492"/>
          </w:tcPr>
          <w:p>
            <w:pPr>
              <w:pStyle w:val="null3"/>
            </w:pPr>
            <w:r>
              <w:rPr>
                <w:rFonts w:ascii="仿宋_GB2312" w:hAnsi="仿宋_GB2312" w:cs="仿宋_GB2312" w:eastAsia="仿宋_GB2312"/>
              </w:rPr>
              <w:t>一、评审内容 提出针对本项目的安全、保密、质量管理方案，包含①安全管理方案②保密管理方案③质量管理方案 二、评审标准 1、完整性：方案须全面，对评审内容中的各项要求有详细描述及说明； 2、可实施性：切合本项目实际情况，实施步骤清晰、合理； 3、针对性：方案能够紧扣项目实际情况，内容科学合理。 三、赋分标准（满分9分） ①安全管理方案：每完全满足一项评审标准得1分，存在瑕疵得0.5分，满分3分； ②保密管理方案：每完全满足一项评审标准得1分，存在瑕疵得0.5分，满分3分； ③质量管理方案：每完全满足一项评审标准得1分，存在瑕疵得0.5分，满分3分。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1、承诺接受采购人对本项目服务的考核、监督及管理，定期调研采购人对服务质量的满意度并加以改进，确保服务工作的优质高效，得1分。无承诺不得分。 2、承诺上岗人员固定，不随意更换，若出现服务人员因事、病等 不能工作的，能及时调整其他服务人员补充，可保障临时性工作 需要及突发事件处置，确保服务工作的正常进行，得1分。无承诺不得分。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提供2022年01月01日至今国土空间规划、国土调查、耕地和永久基本农田核实处置等相关类似业绩，以合同签订时间为准，提供业绩合同复印件并加盖公章，每提供1份得2分，满分10分。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1.根据本项目采购需求，制定设备配置方案，内容包括但不限于①设备种类②设备数量③使用计划； (1)拟投入本项目的设备种类及数量科学合理，使用计划科学可行，计5分； (2)拟投入本项目的设备种类及数量配置合理，使用计划可行，计3分； (3)拟投入本项目的设备种类及设备数量配备简单，计1分；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拟在本项目投入设备、仪器情况一览表.docx</w:t>
            </w:r>
          </w:p>
        </w:tc>
      </w:tr>
      <w:tr>
        <w:tc>
          <w:tcPr>
            <w:tcW w:type="dxa" w:w="831"/>
            <w:vMerge/>
          </w:tcPr>
          <w:p/>
        </w:tc>
        <w:tc>
          <w:tcPr>
            <w:tcW w:type="dxa" w:w="1661"/>
          </w:tcPr>
          <w:p>
            <w:pPr>
              <w:pStyle w:val="null3"/>
            </w:pPr>
            <w:r>
              <w:rPr>
                <w:rFonts w:ascii="仿宋_GB2312" w:hAnsi="仿宋_GB2312" w:cs="仿宋_GB2312" w:eastAsia="仿宋_GB2312"/>
              </w:rPr>
              <w:t>交付成果</w:t>
            </w:r>
          </w:p>
        </w:tc>
        <w:tc>
          <w:tcPr>
            <w:tcW w:type="dxa" w:w="2492"/>
          </w:tcPr>
          <w:p>
            <w:pPr>
              <w:pStyle w:val="null3"/>
            </w:pPr>
            <w:r>
              <w:rPr>
                <w:rFonts w:ascii="仿宋_GB2312" w:hAnsi="仿宋_GB2312" w:cs="仿宋_GB2312" w:eastAsia="仿宋_GB2312"/>
              </w:rPr>
              <w:t>工作成果内容、报告处理及送达，评审委员会根据响应情况综合打分，每满足一项得1分，存在瑕疵得 0.5 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详见附件：拟在本项目投入设备、仪器情况一览表.docx</w:t>
      </w:r>
    </w:p>
    <w:p>
      <w:pPr>
        <w:pStyle w:val="null3"/>
        <w:ind w:firstLine="960"/>
      </w:pPr>
      <w:r>
        <w:rPr>
          <w:rFonts w:ascii="仿宋_GB2312" w:hAnsi="仿宋_GB2312" w:cs="仿宋_GB2312" w:eastAsia="仿宋_GB2312"/>
        </w:rPr>
        <w:t>详见附件：商务、技术偏离表.docx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