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版本号：ZJZB2025-ZCCS-08420251118001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2025年市数据局视频决策指挥系统运维项目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ZJZB2025-ZCCS-084</w:t>
      </w:r>
      <w:r>
        <w:br/>
      </w:r>
      <w:r>
        <w:br/>
      </w:r>
      <w:r>
        <w:br/>
      </w:r>
    </w:p>
    <w:p>
      <w:pPr>
        <w:pStyle w:val="null3"/>
        <w:jc w:val="center"/>
        <w:outlineLvl w:val="2"/>
      </w:pPr>
      <w:r>
        <w:rPr>
          <w:rFonts w:ascii="仿宋_GB2312" w:hAnsi="仿宋_GB2312" w:cs="仿宋_GB2312" w:eastAsia="仿宋_GB2312"/>
          <w:sz w:val="28"/>
          <w:b/>
        </w:rPr>
        <w:t>西安市数据局</w:t>
      </w:r>
    </w:p>
    <w:p>
      <w:pPr>
        <w:pStyle w:val="null3"/>
        <w:jc w:val="center"/>
        <w:outlineLvl w:val="2"/>
      </w:pPr>
      <w:r>
        <w:rPr>
          <w:rFonts w:ascii="仿宋_GB2312" w:hAnsi="仿宋_GB2312" w:cs="仿宋_GB2312" w:eastAsia="仿宋_GB2312"/>
          <w:sz w:val="28"/>
          <w:b/>
        </w:rPr>
        <w:t>西安中金招标代理有限责任公司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西安中金招标代理有限责任公司</w:t>
      </w:r>
      <w:r>
        <w:rPr>
          <w:rFonts w:ascii="仿宋_GB2312" w:hAnsi="仿宋_GB2312" w:cs="仿宋_GB2312" w:eastAsia="仿宋_GB2312"/>
        </w:rPr>
        <w:t>（以下简称“代理机构”）受</w:t>
      </w:r>
      <w:r>
        <w:rPr>
          <w:rFonts w:ascii="仿宋_GB2312" w:hAnsi="仿宋_GB2312" w:cs="仿宋_GB2312" w:eastAsia="仿宋_GB2312"/>
        </w:rPr>
        <w:t>西安市数据局</w:t>
      </w:r>
      <w:r>
        <w:rPr>
          <w:rFonts w:ascii="仿宋_GB2312" w:hAnsi="仿宋_GB2312" w:cs="仿宋_GB2312" w:eastAsia="仿宋_GB2312"/>
        </w:rPr>
        <w:t>委托，拟对</w:t>
      </w:r>
      <w:r>
        <w:rPr>
          <w:rFonts w:ascii="仿宋_GB2312" w:hAnsi="仿宋_GB2312" w:cs="仿宋_GB2312" w:eastAsia="仿宋_GB2312"/>
        </w:rPr>
        <w:t>2025年市数据局视频决策指挥系统运维项目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ZJZB2025-ZCCS-084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2025年市数据局视频决策指挥系统运维项目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服务商需对西安市视频决策指挥系统实施运维保障服务，视频决策指挥系统是采用“互联网+视频会议”的部署方式，覆盖市、区县(开发区)两级政府和市级相关部门。支撑包括市政府常务会议、市政府值班系统日常会议、疫情防控调度会、防汛救灾会议、应急指挥会议、招商引资会议等重要工作会议。实现横向、纵向、移动软终端等多种场景会议接入。系统采用标准协议，支持分权的配置模式，能够让各职能部门自主召开会议,实现部门的自助会议管理。确保各类会议实时高效的召开，系统及设备的稳定运行，重要会议现场会务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采购包1（2025年市数据局视频决策指挥系统运维项目）：属于专门面向中小企业采购。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定代表人授权书：法定代表人授权书：法定代表人（单位负责人）授权委托书（附法定代表人（单位负责人）、被授权人身份证复印件；（法定代表人（单位负责人）直接参加的，须提供法定代表人（单位负责人）身份证明书及身份证复印件且与营业执照上信息须一致），非法人单位参照执行。</w:t>
      </w:r>
    </w:p>
    <w:p>
      <w:pPr>
        <w:pStyle w:val="null3"/>
      </w:pPr>
      <w:r>
        <w:rPr>
          <w:rFonts w:ascii="仿宋_GB2312" w:hAnsi="仿宋_GB2312" w:cs="仿宋_GB2312" w:eastAsia="仿宋_GB2312"/>
        </w:rPr>
        <w:t>3、信誉要求：供应商未被列入信用中国网站(www.creditchina.gov.cn)“失信被执行人、重大税收违法失信主体”；不处于中国政府采购网(www.ccgp.gov.cn)“政府采购严重违法失信行为信息记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郭新蕊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15129776360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西安中金招标代理有限责任公司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西安市科技二路启迪清扬时代D座10楼21001室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费思南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15619025728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采购包1：323,925.00元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代理服务费收费标准：1.本项目采购代理服务费由成交供应商向采购代理机构予以支付。采购代理服务费定额收费叁仟元整。 2.请各供应商在报价中自行考虑，无论报价中是否明确，均视为已包含在响应报价中。 成交供应商承担本次采购代理服务费，并在接到成交通知后一次性支付给采购代理机构。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西安市数据局</w:t>
      </w:r>
      <w:r>
        <w:rPr>
          <w:rFonts w:ascii="仿宋_GB2312" w:hAnsi="仿宋_GB2312" w:cs="仿宋_GB2312" w:eastAsia="仿宋_GB2312"/>
        </w:rPr>
        <w:t>和</w:t>
      </w:r>
      <w:r>
        <w:rPr>
          <w:rFonts w:ascii="仿宋_GB2312" w:hAnsi="仿宋_GB2312" w:cs="仿宋_GB2312" w:eastAsia="仿宋_GB2312"/>
        </w:rPr>
        <w:t>西安中金招标代理有限责任公司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西安市数据局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西安中金招标代理有限责任公司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西安中金招标代理有限责任公司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联系人：费思南</w:t>
      </w:r>
    </w:p>
    <w:p>
      <w:pPr>
        <w:pStyle w:val="null3"/>
      </w:pPr>
      <w:r>
        <w:rPr>
          <w:rFonts w:ascii="仿宋_GB2312" w:hAnsi="仿宋_GB2312" w:cs="仿宋_GB2312" w:eastAsia="仿宋_GB2312"/>
        </w:rPr>
        <w:t>联系电话：15619025728</w:t>
      </w:r>
    </w:p>
    <w:p>
      <w:pPr>
        <w:pStyle w:val="null3"/>
      </w:pPr>
      <w:r>
        <w:rPr>
          <w:rFonts w:ascii="仿宋_GB2312" w:hAnsi="仿宋_GB2312" w:cs="仿宋_GB2312" w:eastAsia="仿宋_GB2312"/>
        </w:rPr>
        <w:t>地址：西安市科技二路启迪清扬时代D座10楼21001室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服务商需对西安市视频决策指挥系统实施运维保障服务，视频决策指挥系统是采用“互联网+视频会议”的部署方式，覆盖市、区县(开发区)两级政府和市级相关部门。支撑包括市政府常务会议、市政府值班系统日常会议、疫情防控调度会、防汛救灾会议、应急指挥会议、招商引资会议等重要工作会议。实现横向、纵向、移动软终端等多种场景会议接入。系统采用标准协议，支持分权的配置模式，能够让各职能部门自主召开会议,实现部门的自助会议管理。确保各类会议实时高效的召开，系统及设备的稳定运行，重要会议现场会务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323,925.00</w:t>
      </w:r>
    </w:p>
    <w:p>
      <w:pPr>
        <w:pStyle w:val="null3"/>
      </w:pPr>
      <w:r>
        <w:rPr>
          <w:rFonts w:ascii="仿宋_GB2312" w:hAnsi="仿宋_GB2312" w:cs="仿宋_GB2312" w:eastAsia="仿宋_GB2312"/>
        </w:rPr>
        <w:t>采购包最高限价（元）: 323,925.00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视频会议系统运维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323,925.00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标的名称：视频会议系统运维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left"/>
            </w:pPr>
            <w:r>
              <w:rPr>
                <w:rFonts w:ascii="仿宋_GB2312" w:hAnsi="仿宋_GB2312" w:cs="仿宋_GB2312" w:eastAsia="仿宋_GB2312"/>
                <w:sz w:val="21"/>
                <w:b/>
              </w:rPr>
              <w:t>1.</w:t>
            </w:r>
            <w:r>
              <w:rPr>
                <w:rFonts w:ascii="仿宋_GB2312" w:hAnsi="仿宋_GB2312" w:cs="仿宋_GB2312" w:eastAsia="仿宋_GB2312"/>
                <w:sz w:val="21"/>
                <w:b/>
              </w:rPr>
              <w:t xml:space="preserve"> </w:t>
            </w:r>
            <w:r>
              <w:rPr>
                <w:rFonts w:ascii="仿宋_GB2312" w:hAnsi="仿宋_GB2312" w:cs="仿宋_GB2312" w:eastAsia="仿宋_GB2312"/>
                <w:sz w:val="21"/>
                <w:b/>
              </w:rPr>
              <w:t>项目概况</w:t>
            </w:r>
          </w:p>
          <w:p>
            <w:pPr>
              <w:pStyle w:val="null3"/>
              <w:ind w:left="570"/>
              <w:jc w:val="both"/>
            </w:pPr>
            <w:r>
              <w:rPr>
                <w:rFonts w:ascii="仿宋_GB2312" w:hAnsi="仿宋_GB2312" w:cs="仿宋_GB2312" w:eastAsia="仿宋_GB2312"/>
                <w:sz w:val="21"/>
                <w:b/>
              </w:rPr>
              <w:t>1.1.</w:t>
            </w:r>
            <w:r>
              <w:rPr>
                <w:rFonts w:ascii="仿宋_GB2312" w:hAnsi="仿宋_GB2312" w:cs="仿宋_GB2312" w:eastAsia="仿宋_GB2312"/>
                <w:sz w:val="21"/>
                <w:b/>
              </w:rPr>
              <w:t>项目维护服务的内容、预期目标</w:t>
            </w:r>
          </w:p>
          <w:p>
            <w:pPr>
              <w:pStyle w:val="null3"/>
              <w:ind w:left="705"/>
              <w:jc w:val="both"/>
            </w:pPr>
            <w:r>
              <w:rPr>
                <w:rFonts w:ascii="仿宋_GB2312" w:hAnsi="仿宋_GB2312" w:cs="仿宋_GB2312" w:eastAsia="仿宋_GB2312"/>
                <w:sz w:val="21"/>
                <w:b/>
              </w:rPr>
              <w:t>1.1.1.</w:t>
            </w:r>
            <w:r>
              <w:rPr>
                <w:rFonts w:ascii="仿宋_GB2312" w:hAnsi="仿宋_GB2312" w:cs="仿宋_GB2312" w:eastAsia="仿宋_GB2312"/>
                <w:sz w:val="21"/>
                <w:b/>
              </w:rPr>
              <w:t>服务内容</w:t>
            </w:r>
          </w:p>
          <w:p>
            <w:pPr>
              <w:pStyle w:val="null3"/>
              <w:ind w:firstLine="420"/>
              <w:jc w:val="left"/>
            </w:pPr>
            <w:r>
              <w:rPr>
                <w:rFonts w:ascii="仿宋_GB2312" w:hAnsi="仿宋_GB2312" w:cs="仿宋_GB2312" w:eastAsia="仿宋_GB2312"/>
                <w:sz w:val="21"/>
                <w:color w:val="000000"/>
              </w:rPr>
              <w:t>1. 驻场服务：提供驻场工程师1名，进行5*8小时主会场现场服务，驻场工程师职责重点在协调整体配合客户保障日常会议的进行，包括但不限于整合线上线下所有软硬件设备（视频切换系统、华为会议系统、科士达会议系统、小鱼会议系统、中兴会议系统）进行会议召开。配合音频设备进行音频输入、输出；现场大屏图像与摄像机图像切换及导播。</w:t>
            </w:r>
          </w:p>
          <w:p>
            <w:pPr>
              <w:pStyle w:val="null3"/>
              <w:ind w:firstLine="420"/>
              <w:jc w:val="left"/>
            </w:pPr>
            <w:r>
              <w:rPr>
                <w:rFonts w:ascii="仿宋_GB2312" w:hAnsi="仿宋_GB2312" w:cs="仿宋_GB2312" w:eastAsia="仿宋_GB2312"/>
                <w:sz w:val="21"/>
                <w:color w:val="000000"/>
              </w:rPr>
              <w:t>2.特殊时段值守：节假日：元旦节3天、春节8天、清明节3天、劳动节3天、端午节3天；</w:t>
            </w:r>
          </w:p>
          <w:p>
            <w:pPr>
              <w:pStyle w:val="null3"/>
              <w:ind w:firstLine="420"/>
              <w:jc w:val="left"/>
            </w:pPr>
            <w:r>
              <w:rPr>
                <w:rFonts w:ascii="仿宋_GB2312" w:hAnsi="仿宋_GB2312" w:cs="仿宋_GB2312" w:eastAsia="仿宋_GB2312"/>
                <w:sz w:val="21"/>
                <w:color w:val="000000"/>
              </w:rPr>
              <w:t>重要会议：防汛会议</w:t>
            </w:r>
            <w:r>
              <w:rPr>
                <w:rFonts w:ascii="仿宋_GB2312" w:hAnsi="仿宋_GB2312" w:cs="仿宋_GB2312" w:eastAsia="仿宋_GB2312"/>
                <w:sz w:val="21"/>
                <w:color w:val="000000"/>
              </w:rPr>
              <w:t>18次、夏季三夏会议10次、两会2次；</w:t>
            </w:r>
          </w:p>
          <w:p>
            <w:pPr>
              <w:pStyle w:val="null3"/>
              <w:ind w:firstLine="420"/>
              <w:jc w:val="left"/>
            </w:pPr>
            <w:r>
              <w:rPr>
                <w:rFonts w:ascii="仿宋_GB2312" w:hAnsi="仿宋_GB2312" w:cs="仿宋_GB2312" w:eastAsia="仿宋_GB2312"/>
                <w:sz w:val="21"/>
                <w:color w:val="000000"/>
              </w:rPr>
              <w:t>临时突发重要会议：</w:t>
            </w:r>
            <w:r>
              <w:rPr>
                <w:rFonts w:ascii="仿宋_GB2312" w:hAnsi="仿宋_GB2312" w:cs="仿宋_GB2312" w:eastAsia="仿宋_GB2312"/>
                <w:sz w:val="21"/>
                <w:color w:val="000000"/>
              </w:rPr>
              <w:t>5次（以前一年会议次数数据估算）</w:t>
            </w:r>
          </w:p>
          <w:p>
            <w:pPr>
              <w:pStyle w:val="null3"/>
              <w:ind w:firstLine="420"/>
              <w:jc w:val="left"/>
            </w:pPr>
            <w:r>
              <w:rPr>
                <w:rFonts w:ascii="仿宋_GB2312" w:hAnsi="仿宋_GB2312" w:cs="仿宋_GB2312" w:eastAsia="仿宋_GB2312"/>
                <w:sz w:val="21"/>
                <w:color w:val="000000"/>
              </w:rPr>
              <w:t>3. 技术支持：为本项目提供不少于10人的固定服务团队，进行技术支持 7x24小时的技术支持，随时准备处理各种突发事件及故障处理。</w:t>
            </w:r>
          </w:p>
          <w:p>
            <w:pPr>
              <w:pStyle w:val="null3"/>
              <w:ind w:firstLine="420"/>
              <w:jc w:val="left"/>
            </w:pPr>
            <w:r>
              <w:rPr>
                <w:rFonts w:ascii="仿宋_GB2312" w:hAnsi="仿宋_GB2312" w:cs="仿宋_GB2312" w:eastAsia="仿宋_GB2312"/>
                <w:sz w:val="21"/>
                <w:color w:val="000000"/>
              </w:rPr>
              <w:t>4.调研评估：二线工程师对整体系统进行评估，检查系统整体脆弱性，提供风险评估报告。并对系统硬件建立详细的资产及配置维护服务档案。内容包括有硬件资产内容、系统配置、各设备间的配置关系。并根据实际需要，制定详细的服务支持计划，随时更新硬件系统信息。二是对软/硬件参数、配置备份，供应商在给设备建立档案以后，需对系统所有配置参数进行记录、备份及版本管理，以便于在系统出现故障需要修复的情况下，快速进行系统的恢复，并对所有的过程进行记录。</w:t>
            </w:r>
          </w:p>
          <w:p>
            <w:pPr>
              <w:pStyle w:val="null3"/>
              <w:ind w:firstLine="420"/>
              <w:jc w:val="left"/>
            </w:pPr>
            <w:r>
              <w:rPr>
                <w:rFonts w:ascii="仿宋_GB2312" w:hAnsi="仿宋_GB2312" w:cs="仿宋_GB2312" w:eastAsia="仿宋_GB2312"/>
                <w:sz w:val="21"/>
                <w:color w:val="000000"/>
              </w:rPr>
              <w:t>5. 优化服务：二线工程师提供系统优化服务，从系统的CPU使用率、内存的性能分析、I/O的性能分析和网络性能分析等方面优化应用运行环境。</w:t>
            </w:r>
          </w:p>
          <w:p>
            <w:pPr>
              <w:pStyle w:val="null3"/>
              <w:ind w:firstLine="420"/>
              <w:jc w:val="left"/>
            </w:pPr>
            <w:r>
              <w:rPr>
                <w:rFonts w:ascii="仿宋_GB2312" w:hAnsi="仿宋_GB2312" w:cs="仿宋_GB2312" w:eastAsia="仿宋_GB2312"/>
                <w:sz w:val="21"/>
                <w:color w:val="000000"/>
              </w:rPr>
              <w:t>6. 设备维保：按照时限要求对视频会议MCU、管理平台、融合网关、视频会议终端等进行维保服务。包括但不限于以下服务内容：故障定位；备件更换；中断、连通网络连接；关闭、启动端口；更改、恢复配置；停止、启动进程等。</w:t>
            </w:r>
          </w:p>
          <w:p>
            <w:pPr>
              <w:pStyle w:val="null3"/>
              <w:ind w:left="705"/>
              <w:jc w:val="both"/>
            </w:pPr>
            <w:r>
              <w:rPr>
                <w:rFonts w:ascii="仿宋_GB2312" w:hAnsi="仿宋_GB2312" w:cs="仿宋_GB2312" w:eastAsia="仿宋_GB2312"/>
                <w:sz w:val="21"/>
                <w:b/>
              </w:rPr>
              <w:t>1.1.2.</w:t>
            </w:r>
            <w:r>
              <w:rPr>
                <w:rFonts w:ascii="仿宋_GB2312" w:hAnsi="仿宋_GB2312" w:cs="仿宋_GB2312" w:eastAsia="仿宋_GB2312"/>
                <w:sz w:val="21"/>
                <w:b/>
              </w:rPr>
              <w:t>预期目标</w:t>
            </w:r>
          </w:p>
          <w:p>
            <w:pPr>
              <w:pStyle w:val="null3"/>
              <w:ind w:firstLine="420"/>
              <w:jc w:val="left"/>
            </w:pPr>
            <w:r>
              <w:rPr>
                <w:rFonts w:ascii="仿宋_GB2312" w:hAnsi="仿宋_GB2312" w:cs="仿宋_GB2312" w:eastAsia="仿宋_GB2312"/>
                <w:sz w:val="21"/>
              </w:rPr>
              <w:t>按会议安排响应运维需求，包括对系统进行巡检，软硬件运行状况分析，查看和分析相关系统日志，排查故障和性能优化等。在重大割接、重大会议、重大活动、严重突发等重大事件中，对运维保障中的突发状况，进行事前、事中、事后进行全面的紧急保障。包括对网络进行重大操作</w:t>
            </w:r>
            <w:r>
              <w:rPr>
                <w:rFonts w:ascii="仿宋_GB2312" w:hAnsi="仿宋_GB2312" w:cs="仿宋_GB2312" w:eastAsia="仿宋_GB2312"/>
                <w:sz w:val="21"/>
              </w:rPr>
              <w:t>/变更，现场值守支持保障，协助客户评审重大操作实施方案或者节日保障方案，协助客户监控和评估网络运行状态，并实时提供技术咨询和支持，在发生故障时根据实施应急方案向使用部门提供最快的响应和支持。确保系统可靠稳定运行，保障运维工作有序进行。</w:t>
            </w:r>
          </w:p>
          <w:p>
            <w:pPr>
              <w:pStyle w:val="null3"/>
              <w:ind w:left="570"/>
              <w:jc w:val="both"/>
            </w:pPr>
            <w:r>
              <w:rPr>
                <w:rFonts w:ascii="仿宋_GB2312" w:hAnsi="仿宋_GB2312" w:cs="仿宋_GB2312" w:eastAsia="仿宋_GB2312"/>
                <w:sz w:val="21"/>
                <w:b/>
              </w:rPr>
              <w:t>1.2.</w:t>
            </w:r>
            <w:r>
              <w:rPr>
                <w:rFonts w:ascii="仿宋_GB2312" w:hAnsi="仿宋_GB2312" w:cs="仿宋_GB2312" w:eastAsia="仿宋_GB2312"/>
                <w:sz w:val="21"/>
                <w:b/>
              </w:rPr>
              <w:t xml:space="preserve"> </w:t>
            </w:r>
            <w:r>
              <w:rPr>
                <w:rFonts w:ascii="仿宋_GB2312" w:hAnsi="仿宋_GB2312" w:cs="仿宋_GB2312" w:eastAsia="仿宋_GB2312"/>
                <w:sz w:val="21"/>
                <w:b/>
              </w:rPr>
              <w:t>运维周期</w:t>
            </w:r>
          </w:p>
          <w:p>
            <w:pPr>
              <w:pStyle w:val="null3"/>
              <w:jc w:val="left"/>
            </w:pPr>
            <w:r>
              <w:rPr>
                <w:rFonts w:ascii="仿宋_GB2312" w:hAnsi="仿宋_GB2312" w:cs="仿宋_GB2312" w:eastAsia="仿宋_GB2312"/>
                <w:sz w:val="21"/>
              </w:rPr>
              <w:t>2025年12月25日-2026年6月25日</w:t>
            </w:r>
          </w:p>
          <w:p>
            <w:pPr>
              <w:pStyle w:val="null3"/>
              <w:ind w:left="570"/>
              <w:jc w:val="both"/>
            </w:pPr>
            <w:r>
              <w:rPr>
                <w:rFonts w:ascii="仿宋_GB2312" w:hAnsi="仿宋_GB2312" w:cs="仿宋_GB2312" w:eastAsia="仿宋_GB2312"/>
                <w:sz w:val="21"/>
                <w:b/>
              </w:rPr>
              <w:t>1.3.</w:t>
            </w:r>
            <w:r>
              <w:rPr>
                <w:rFonts w:ascii="仿宋_GB2312" w:hAnsi="仿宋_GB2312" w:cs="仿宋_GB2312" w:eastAsia="仿宋_GB2312"/>
                <w:sz w:val="21"/>
                <w:b/>
              </w:rPr>
              <w:t>资金来源及支付计划</w:t>
            </w:r>
          </w:p>
          <w:p>
            <w:pPr>
              <w:pStyle w:val="null3"/>
              <w:ind w:firstLine="420"/>
              <w:jc w:val="both"/>
            </w:pPr>
            <w:r>
              <w:rPr>
                <w:rFonts w:ascii="仿宋_GB2312" w:hAnsi="仿宋_GB2312" w:cs="仿宋_GB2312" w:eastAsia="仿宋_GB2312"/>
                <w:sz w:val="21"/>
              </w:rPr>
              <w:t>该项目资金来源：西安市数据局信息化项目资金。</w:t>
            </w:r>
          </w:p>
          <w:p>
            <w:pPr>
              <w:pStyle w:val="null3"/>
              <w:ind w:firstLine="420"/>
              <w:jc w:val="left"/>
            </w:pPr>
            <w:r>
              <w:rPr>
                <w:rFonts w:ascii="仿宋_GB2312" w:hAnsi="仿宋_GB2312" w:cs="仿宋_GB2312" w:eastAsia="仿宋_GB2312"/>
                <w:sz w:val="21"/>
              </w:rPr>
              <w:t>支付计划：签订合同后支付合同总金额的</w:t>
            </w:r>
            <w:r>
              <w:rPr>
                <w:rFonts w:ascii="仿宋_GB2312" w:hAnsi="仿宋_GB2312" w:cs="仿宋_GB2312" w:eastAsia="仿宋_GB2312"/>
                <w:sz w:val="21"/>
              </w:rPr>
              <w:t>70%，运维周期6个月，2026年6月运维验收通过后支付剩余30%尾款。</w:t>
            </w:r>
          </w:p>
          <w:p>
            <w:pPr>
              <w:pStyle w:val="null3"/>
              <w:ind w:left="570"/>
              <w:jc w:val="both"/>
            </w:pPr>
            <w:r>
              <w:rPr>
                <w:rFonts w:ascii="仿宋_GB2312" w:hAnsi="仿宋_GB2312" w:cs="仿宋_GB2312" w:eastAsia="仿宋_GB2312"/>
                <w:sz w:val="21"/>
                <w:b/>
              </w:rPr>
              <w:t>1.4.</w:t>
            </w:r>
            <w:r>
              <w:rPr>
                <w:rFonts w:ascii="仿宋_GB2312" w:hAnsi="仿宋_GB2312" w:cs="仿宋_GB2312" w:eastAsia="仿宋_GB2312"/>
                <w:sz w:val="21"/>
                <w:b/>
              </w:rPr>
              <w:t>项目运维对象基本情况</w:t>
            </w:r>
          </w:p>
          <w:p>
            <w:pPr>
              <w:pStyle w:val="null3"/>
              <w:ind w:firstLine="420"/>
              <w:jc w:val="left"/>
            </w:pPr>
            <w:r>
              <w:rPr>
                <w:rFonts w:ascii="仿宋_GB2312" w:hAnsi="仿宋_GB2312" w:cs="仿宋_GB2312" w:eastAsia="仿宋_GB2312"/>
                <w:sz w:val="21"/>
              </w:rPr>
              <w:t>服务商需对西安市视频决策指挥系统实施运维保障服务，视频决策指挥系统是采用</w:t>
            </w:r>
            <w:r>
              <w:rPr>
                <w:rFonts w:ascii="仿宋_GB2312" w:hAnsi="仿宋_GB2312" w:cs="仿宋_GB2312" w:eastAsia="仿宋_GB2312"/>
                <w:sz w:val="21"/>
              </w:rPr>
              <w:t>“互联网+视频会议”的部署方式，覆盖市、区县(开发区)两级政府和市级相关部门。支撑包括市政府常务会议、市政府值班系统日常会议、疫情防控调度会、防汛救灾会议、应急指挥会议、招商引资会议等重要工作会议。实现横向、纵向、移动软终端等多种场景会议接入。系统采用标准协议，支持分权的配置模式，能够让各职能部门自主召开会议,实现部门的自助会议管理。确保各类会议实时高效的召开，系统及设备的稳定运行，重要会议现场会务保障。</w:t>
            </w:r>
          </w:p>
          <w:p>
            <w:pPr>
              <w:pStyle w:val="null3"/>
              <w:ind w:left="420"/>
              <w:jc w:val="both"/>
            </w:pPr>
            <w:r>
              <w:rPr>
                <w:rFonts w:ascii="仿宋_GB2312" w:hAnsi="仿宋_GB2312" w:cs="仿宋_GB2312" w:eastAsia="仿宋_GB2312"/>
                <w:sz w:val="21"/>
                <w:b/>
              </w:rPr>
              <w:t>2.</w:t>
            </w:r>
            <w:r>
              <w:rPr>
                <w:rFonts w:ascii="仿宋_GB2312" w:hAnsi="仿宋_GB2312" w:cs="仿宋_GB2312" w:eastAsia="仿宋_GB2312"/>
                <w:sz w:val="21"/>
                <w:b/>
              </w:rPr>
              <w:t xml:space="preserve"> </w:t>
            </w:r>
            <w:r>
              <w:rPr>
                <w:rFonts w:ascii="仿宋_GB2312" w:hAnsi="仿宋_GB2312" w:cs="仿宋_GB2312" w:eastAsia="仿宋_GB2312"/>
                <w:sz w:val="21"/>
                <w:b/>
              </w:rPr>
              <w:t>运维服务的主要内容</w:t>
            </w:r>
          </w:p>
          <w:p>
            <w:pPr>
              <w:pStyle w:val="null3"/>
              <w:ind w:left="570"/>
              <w:jc w:val="both"/>
            </w:pPr>
            <w:r>
              <w:rPr>
                <w:rFonts w:ascii="仿宋_GB2312" w:hAnsi="仿宋_GB2312" w:cs="仿宋_GB2312" w:eastAsia="仿宋_GB2312"/>
                <w:sz w:val="21"/>
                <w:b/>
              </w:rPr>
              <w:t>2.1.</w:t>
            </w:r>
            <w:r>
              <w:rPr>
                <w:rFonts w:ascii="仿宋_GB2312" w:hAnsi="仿宋_GB2312" w:cs="仿宋_GB2312" w:eastAsia="仿宋_GB2312"/>
                <w:sz w:val="21"/>
                <w:b/>
              </w:rPr>
              <w:t>硬件运维</w:t>
            </w:r>
          </w:p>
          <w:p>
            <w:pPr>
              <w:pStyle w:val="null3"/>
              <w:numPr>
                <w:ilvl w:val="0"/>
                <w:numId w:val="1"/>
              </w:numPr>
              <w:spacing w:after="150"/>
            </w:pPr>
            <w:r>
              <w:rPr>
                <w:rFonts w:ascii="仿宋_GB2312" w:hAnsi="仿宋_GB2312" w:cs="仿宋_GB2312" w:eastAsia="仿宋_GB2312"/>
                <w:sz w:val="21"/>
              </w:rPr>
              <w:t>驻场服务：提供驻场工程师</w:t>
            </w:r>
            <w:r>
              <w:rPr>
                <w:rFonts w:ascii="仿宋_GB2312" w:hAnsi="仿宋_GB2312" w:cs="仿宋_GB2312" w:eastAsia="仿宋_GB2312"/>
                <w:sz w:val="21"/>
              </w:rPr>
              <w:t>1名，进行5*8小时主会场现场服务，驻场工程师职责重点在协调整体配合客户保障日常会议的进行，包括但不限于整合线上线下所有软硬件设备（视频切换系统、华为会议系统、科士达会议系统、小鱼会议系统、中兴会议系统）进行会议召开。配合音频设备进行音频输入、输出；现场大屏图像与摄像机图像切换及导播。</w:t>
            </w:r>
            <w:r>
              <w:rPr>
                <w:rFonts w:ascii="仿宋_GB2312" w:hAnsi="仿宋_GB2312" w:cs="仿宋_GB2312" w:eastAsia="仿宋_GB2312"/>
                <w:sz w:val="21"/>
                <w:color w:val="000000"/>
              </w:rPr>
              <w:t>驻场人员具备如下能力：</w:t>
            </w:r>
          </w:p>
          <w:p>
            <w:pPr>
              <w:pStyle w:val="null3"/>
              <w:spacing w:after="150"/>
              <w:ind w:firstLine="420"/>
            </w:pPr>
            <w:r>
              <w:rPr>
                <w:rFonts w:ascii="仿宋_GB2312" w:hAnsi="仿宋_GB2312" w:cs="仿宋_GB2312" w:eastAsia="仿宋_GB2312"/>
                <w:sz w:val="21"/>
                <w:color w:val="000000"/>
              </w:rPr>
              <w:t>①协调整体配合，整合线上线下所有软硬件设备（视频切换系统、华为会议系统、科士达会议系统、小鱼会议系统、中兴会议系统）进行会议召开。配合音频设备进行音频输入、输出；现场大屏图像与摄像机图像切换及导播。</w:t>
            </w:r>
          </w:p>
          <w:p>
            <w:pPr>
              <w:pStyle w:val="null3"/>
              <w:spacing w:after="150"/>
              <w:ind w:firstLine="480"/>
            </w:pPr>
            <w:r>
              <w:rPr>
                <w:rFonts w:ascii="仿宋_GB2312" w:hAnsi="仿宋_GB2312" w:cs="仿宋_GB2312" w:eastAsia="仿宋_GB2312"/>
                <w:sz w:val="21"/>
                <w:color w:val="000000"/>
              </w:rPr>
              <w:t>②熟悉市委市政府各级会议的要求、对各会场基本的布局环境有一定了解。</w:t>
            </w:r>
          </w:p>
          <w:p>
            <w:pPr>
              <w:pStyle w:val="null3"/>
              <w:spacing w:after="150"/>
              <w:ind w:firstLine="480"/>
            </w:pPr>
            <w:r>
              <w:rPr>
                <w:rFonts w:ascii="仿宋_GB2312" w:hAnsi="仿宋_GB2312" w:cs="仿宋_GB2312" w:eastAsia="仿宋_GB2312"/>
                <w:sz w:val="21"/>
                <w:color w:val="000000"/>
              </w:rPr>
              <w:t>③针对全市视频会议具备独立协调、测试能力。</w:t>
            </w:r>
          </w:p>
          <w:p>
            <w:pPr>
              <w:pStyle w:val="null3"/>
              <w:spacing w:after="150"/>
              <w:ind w:firstLine="480"/>
            </w:pPr>
            <w:r>
              <w:rPr>
                <w:rFonts w:ascii="仿宋_GB2312" w:hAnsi="仿宋_GB2312" w:cs="仿宋_GB2312" w:eastAsia="仿宋_GB2312"/>
                <w:sz w:val="21"/>
                <w:color w:val="000000"/>
              </w:rPr>
              <w:t>要求如下：一是参加会议保障工作人员需在相关部门完成备案工；二是驻场人员不可随意更换；三是</w:t>
            </w:r>
            <w:r>
              <w:rPr>
                <w:rFonts w:ascii="仿宋_GB2312" w:hAnsi="仿宋_GB2312" w:cs="仿宋_GB2312" w:eastAsia="仿宋_GB2312"/>
                <w:sz w:val="21"/>
                <w:color w:val="000000"/>
              </w:rPr>
              <w:t>2小时内响应各视频会议使用部门需求。</w:t>
            </w:r>
          </w:p>
          <w:p>
            <w:pPr>
              <w:pStyle w:val="null3"/>
              <w:ind w:firstLine="420"/>
              <w:jc w:val="left"/>
            </w:pPr>
            <w:r>
              <w:rPr>
                <w:rFonts w:ascii="仿宋_GB2312" w:hAnsi="仿宋_GB2312" w:cs="仿宋_GB2312" w:eastAsia="仿宋_GB2312"/>
                <w:sz w:val="21"/>
              </w:rPr>
              <w:t>2.特殊时段值守：节假日：元旦节3天、春节8天、清明节3天、劳动节3天、端午节3天；</w:t>
            </w:r>
          </w:p>
          <w:p>
            <w:pPr>
              <w:pStyle w:val="null3"/>
              <w:ind w:firstLine="420"/>
              <w:jc w:val="left"/>
            </w:pPr>
            <w:r>
              <w:rPr>
                <w:rFonts w:ascii="仿宋_GB2312" w:hAnsi="仿宋_GB2312" w:cs="仿宋_GB2312" w:eastAsia="仿宋_GB2312"/>
                <w:sz w:val="21"/>
              </w:rPr>
              <w:t>重要会议：防汛会议</w:t>
            </w:r>
            <w:r>
              <w:rPr>
                <w:rFonts w:ascii="仿宋_GB2312" w:hAnsi="仿宋_GB2312" w:cs="仿宋_GB2312" w:eastAsia="仿宋_GB2312"/>
                <w:sz w:val="21"/>
              </w:rPr>
              <w:t>18次、夏季三夏会议10次、两会2次；</w:t>
            </w:r>
          </w:p>
          <w:p>
            <w:pPr>
              <w:pStyle w:val="null3"/>
              <w:ind w:firstLine="420"/>
              <w:jc w:val="left"/>
            </w:pPr>
            <w:r>
              <w:rPr>
                <w:rFonts w:ascii="仿宋_GB2312" w:hAnsi="仿宋_GB2312" w:cs="仿宋_GB2312" w:eastAsia="仿宋_GB2312"/>
                <w:sz w:val="21"/>
              </w:rPr>
              <w:t>临时突发重要会议：</w:t>
            </w:r>
            <w:r>
              <w:rPr>
                <w:rFonts w:ascii="仿宋_GB2312" w:hAnsi="仿宋_GB2312" w:cs="仿宋_GB2312" w:eastAsia="仿宋_GB2312"/>
                <w:sz w:val="21"/>
              </w:rPr>
              <w:t>5次（以前一年会议次数数据估算）</w:t>
            </w:r>
          </w:p>
          <w:p>
            <w:pPr>
              <w:pStyle w:val="null3"/>
              <w:spacing w:after="150"/>
              <w:ind w:firstLine="480"/>
            </w:pPr>
            <w:r>
              <w:rPr>
                <w:rFonts w:ascii="仿宋_GB2312" w:hAnsi="仿宋_GB2312" w:cs="仿宋_GB2312" w:eastAsia="仿宋_GB2312"/>
                <w:sz w:val="21"/>
              </w:rPr>
              <w:t>3. 技术支持：为本项目提供不少于10人的固定服务团队，进行技术支持 7x24小时的技术支持，随时准备处理各种突发事件及故障处理。</w:t>
            </w:r>
            <w:r>
              <w:rPr>
                <w:rFonts w:ascii="仿宋_GB2312" w:hAnsi="仿宋_GB2312" w:cs="仿宋_GB2312" w:eastAsia="仿宋_GB2312"/>
                <w:sz w:val="21"/>
                <w:color w:val="000000"/>
              </w:rPr>
              <w:t>支持范围包括产品的功能、配置、安装、调试、采购人使用中遇到的各种技术问题的一般性咨询，并随时准备处理各种突发事件，人员配置不低于以下要求。</w:t>
            </w:r>
          </w:p>
          <w:tbl>
            <w:tblPr>
              <w:tblInd w:type="dxa" w:w="120"/>
              <w:tblBorders>
                <w:top w:val="none" w:color="000000" w:sz="4"/>
                <w:left w:val="none" w:color="000000" w:sz="4"/>
                <w:bottom w:val="none" w:color="000000" w:sz="4"/>
                <w:right w:val="none" w:color="000000" w:sz="4"/>
                <w:insideH w:val="none"/>
                <w:insideV w:val="none"/>
              </w:tblBorders>
            </w:tblPr>
            <w:tblGrid>
              <w:gridCol w:w="602"/>
              <w:gridCol w:w="1364"/>
              <w:gridCol w:w="587"/>
            </w:tblGrid>
            <w:tr>
              <w:tc>
                <w:tcPr>
                  <w:tcW w:type="dxa" w:w="60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b/>
                      <w:color w:val="000000"/>
                    </w:rPr>
                    <w:t>名称</w:t>
                  </w:r>
                </w:p>
              </w:tc>
              <w:tc>
                <w:tcPr>
                  <w:tcW w:type="dxa" w:w="136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b/>
                      <w:color w:val="000000"/>
                    </w:rPr>
                    <w:t>要求</w:t>
                  </w:r>
                </w:p>
              </w:tc>
              <w:tc>
                <w:tcPr>
                  <w:tcW w:type="dxa" w:w="58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b/>
                      <w:color w:val="000000"/>
                    </w:rPr>
                    <w:t>配置人数</w:t>
                  </w:r>
                </w:p>
              </w:tc>
            </w:tr>
            <w:tr>
              <w:tc>
                <w:tcPr>
                  <w:tcW w:type="dxa" w:w="6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项目总监</w:t>
                  </w:r>
                </w:p>
              </w:tc>
              <w:tc>
                <w:tcPr>
                  <w:tcW w:type="dxa" w:w="1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ITSM Master</w:t>
                  </w:r>
                </w:p>
              </w:tc>
              <w:tc>
                <w:tcPr>
                  <w:tcW w:type="dxa" w:w="5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1</w:t>
                  </w:r>
                </w:p>
              </w:tc>
            </w:tr>
            <w:tr>
              <w:tc>
                <w:tcPr>
                  <w:tcW w:type="dxa" w:w="6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项目经理</w:t>
                  </w:r>
                </w:p>
              </w:tc>
              <w:tc>
                <w:tcPr>
                  <w:tcW w:type="dxa" w:w="1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信息系统项目管理师、</w:t>
                  </w:r>
                  <w:r>
                    <w:rPr>
                      <w:rFonts w:ascii="仿宋_GB2312" w:hAnsi="仿宋_GB2312" w:cs="仿宋_GB2312" w:eastAsia="仿宋_GB2312"/>
                      <w:sz w:val="21"/>
                      <w:color w:val="000000"/>
                    </w:rPr>
                    <w:t>ITSS</w:t>
                  </w:r>
                </w:p>
              </w:tc>
              <w:tc>
                <w:tcPr>
                  <w:tcW w:type="dxa" w:w="5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1</w:t>
                  </w:r>
                </w:p>
              </w:tc>
            </w:tr>
            <w:tr>
              <w:tc>
                <w:tcPr>
                  <w:tcW w:type="dxa" w:w="6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一线工程师</w:t>
                  </w:r>
                </w:p>
              </w:tc>
              <w:tc>
                <w:tcPr>
                  <w:tcW w:type="dxa" w:w="1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具有驻场运维项目经验（</w:t>
                  </w:r>
                  <w:r>
                    <w:rPr>
                      <w:rFonts w:ascii="仿宋_GB2312" w:hAnsi="仿宋_GB2312" w:cs="仿宋_GB2312" w:eastAsia="仿宋_GB2312"/>
                      <w:sz w:val="21"/>
                      <w:color w:val="000000"/>
                    </w:rPr>
                    <w:t>AB角）</w:t>
                  </w:r>
                </w:p>
              </w:tc>
              <w:tc>
                <w:tcPr>
                  <w:tcW w:type="dxa" w:w="5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2</w:t>
                  </w:r>
                </w:p>
              </w:tc>
            </w:tr>
            <w:tr>
              <w:tc>
                <w:tcPr>
                  <w:tcW w:type="dxa" w:w="6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二线网络支持</w:t>
                  </w:r>
                </w:p>
              </w:tc>
              <w:tc>
                <w:tcPr>
                  <w:tcW w:type="dxa" w:w="1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HCIE-R&amp;S、CCIE、H3CIE</w:t>
                  </w:r>
                </w:p>
              </w:tc>
              <w:tc>
                <w:tcPr>
                  <w:tcW w:type="dxa" w:w="5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2</w:t>
                  </w:r>
                </w:p>
              </w:tc>
            </w:tr>
            <w:tr>
              <w:tc>
                <w:tcPr>
                  <w:tcW w:type="dxa" w:w="6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二线主机支持</w:t>
                  </w:r>
                </w:p>
              </w:tc>
              <w:tc>
                <w:tcPr>
                  <w:tcW w:type="dxa" w:w="1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RHCE、IBM AIX</w:t>
                  </w:r>
                </w:p>
              </w:tc>
              <w:tc>
                <w:tcPr>
                  <w:tcW w:type="dxa" w:w="5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1</w:t>
                  </w:r>
                </w:p>
              </w:tc>
            </w:tr>
            <w:tr>
              <w:tc>
                <w:tcPr>
                  <w:tcW w:type="dxa" w:w="6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二线视频会议支持</w:t>
                  </w:r>
                </w:p>
              </w:tc>
              <w:tc>
                <w:tcPr>
                  <w:tcW w:type="dxa" w:w="1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HCIP-Collaboration</w:t>
                  </w:r>
                </w:p>
              </w:tc>
              <w:tc>
                <w:tcPr>
                  <w:tcW w:type="dxa" w:w="5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1</w:t>
                  </w:r>
                </w:p>
              </w:tc>
            </w:tr>
            <w:tr>
              <w:tc>
                <w:tcPr>
                  <w:tcW w:type="dxa" w:w="6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二线云</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支持</w:t>
                  </w:r>
                </w:p>
              </w:tc>
              <w:tc>
                <w:tcPr>
                  <w:tcW w:type="dxa" w:w="1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 xml:space="preserve">HCIE-Cloud </w:t>
                  </w:r>
                  <w:r>
                    <w:rPr>
                      <w:rFonts w:ascii="仿宋_GB2312" w:hAnsi="仿宋_GB2312" w:cs="仿宋_GB2312" w:eastAsia="仿宋_GB2312"/>
                      <w:sz w:val="21"/>
                      <w:color w:val="000000"/>
                    </w:rPr>
                    <w:t>Service</w:t>
                  </w:r>
                </w:p>
              </w:tc>
              <w:tc>
                <w:tcPr>
                  <w:tcW w:type="dxa" w:w="5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1</w:t>
                  </w:r>
                </w:p>
              </w:tc>
            </w:tr>
            <w:tr>
              <w:tc>
                <w:tcPr>
                  <w:tcW w:type="dxa" w:w="6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二线信息安全技术支持</w:t>
                  </w:r>
                </w:p>
              </w:tc>
              <w:tc>
                <w:tcPr>
                  <w:tcW w:type="dxa" w:w="1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CISP</w:t>
                  </w:r>
                </w:p>
              </w:tc>
              <w:tc>
                <w:tcPr>
                  <w:tcW w:type="dxa" w:w="5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50"/>
                    <w:jc w:val="center"/>
                  </w:pPr>
                  <w:r>
                    <w:rPr>
                      <w:rFonts w:ascii="仿宋_GB2312" w:hAnsi="仿宋_GB2312" w:cs="仿宋_GB2312" w:eastAsia="仿宋_GB2312"/>
                      <w:sz w:val="21"/>
                      <w:color w:val="000000"/>
                    </w:rPr>
                    <w:t>2</w:t>
                  </w:r>
                </w:p>
              </w:tc>
            </w:tr>
          </w:tbl>
          <w:p>
            <w:pPr>
              <w:pStyle w:val="null3"/>
              <w:ind w:firstLine="420"/>
              <w:jc w:val="left"/>
            </w:pPr>
            <w:r>
              <w:rPr>
                <w:rFonts w:ascii="仿宋_GB2312" w:hAnsi="仿宋_GB2312" w:cs="仿宋_GB2312" w:eastAsia="仿宋_GB2312"/>
                <w:sz w:val="21"/>
              </w:rPr>
              <w:t>4.调研评估：二线工程师对整体系统进行评估，检查系统整体脆弱性，提供风险评估报告。并对系统硬件建立详细的资产及配置维护服务档案。内容包括有硬件资产内容、系统配置、各设备间的配置关系。并根据实际需要，制定详细的服务支持计划，随时更新硬件系统信息。二是对软/硬件参数、配置备份，供应商在给设备建立档案以后，需对系统所有配置参数进行记录、备份及版本管理，以便于在系统出现故障需要修复的情况下，快速进行系统的恢复，并对所有的过程进行记录。</w:t>
            </w:r>
          </w:p>
          <w:p>
            <w:pPr>
              <w:pStyle w:val="null3"/>
              <w:ind w:firstLine="420"/>
              <w:jc w:val="left"/>
            </w:pPr>
            <w:r>
              <w:rPr>
                <w:rFonts w:ascii="仿宋_GB2312" w:hAnsi="仿宋_GB2312" w:cs="仿宋_GB2312" w:eastAsia="仿宋_GB2312"/>
                <w:sz w:val="21"/>
              </w:rPr>
              <w:t>5. 优化服务：二线工程师提供系统优化服务，从系统的CPU使用率、内存的性能分析、I/O的性能分析和网络性能分析等方面优化应用运行环境。</w:t>
            </w:r>
          </w:p>
          <w:p>
            <w:pPr>
              <w:pStyle w:val="null3"/>
              <w:ind w:left="570"/>
              <w:jc w:val="both"/>
            </w:pPr>
            <w:r>
              <w:rPr>
                <w:rFonts w:ascii="仿宋_GB2312" w:hAnsi="仿宋_GB2312" w:cs="仿宋_GB2312" w:eastAsia="仿宋_GB2312"/>
                <w:sz w:val="21"/>
                <w:b/>
              </w:rPr>
              <w:t>2.2.</w:t>
            </w:r>
            <w:r>
              <w:rPr>
                <w:rFonts w:ascii="仿宋_GB2312" w:hAnsi="仿宋_GB2312" w:cs="仿宋_GB2312" w:eastAsia="仿宋_GB2312"/>
                <w:sz w:val="21"/>
                <w:b/>
              </w:rPr>
              <w:t>其他内容与服务</w:t>
            </w:r>
          </w:p>
          <w:p>
            <w:pPr>
              <w:pStyle w:val="null3"/>
              <w:ind w:firstLine="420"/>
              <w:jc w:val="center"/>
            </w:pPr>
            <w:r>
              <w:rPr>
                <w:rFonts w:ascii="仿宋_GB2312" w:hAnsi="仿宋_GB2312" w:cs="仿宋_GB2312" w:eastAsia="仿宋_GB2312"/>
                <w:sz w:val="21"/>
              </w:rPr>
              <w:t>设备维保：按照时限要求对视频会议</w:t>
            </w:r>
            <w:r>
              <w:rPr>
                <w:rFonts w:ascii="仿宋_GB2312" w:hAnsi="仿宋_GB2312" w:cs="仿宋_GB2312" w:eastAsia="仿宋_GB2312"/>
                <w:sz w:val="21"/>
              </w:rPr>
              <w:t>MCU、管理平台、融合网关、视频会议终端等进行维保服务。包括但不限于以下服务内容：故障定位；备件更换；中断、连通网络连接；关闭、启动端口；更改、恢复配置；停止、启动进程等。</w:t>
            </w:r>
          </w:p>
          <w:tbl>
            <w:tblPr>
              <w:tblBorders>
                <w:top w:val="none" w:color="000000" w:sz="4"/>
                <w:left w:val="none" w:color="000000" w:sz="4"/>
                <w:bottom w:val="none" w:color="000000" w:sz="4"/>
                <w:right w:val="none" w:color="000000" w:sz="4"/>
                <w:insideH w:val="none"/>
                <w:insideV w:val="none"/>
              </w:tblBorders>
            </w:tblPr>
            <w:tblGrid>
              <w:gridCol w:w="192"/>
              <w:gridCol w:w="733"/>
              <w:gridCol w:w="1166"/>
              <w:gridCol w:w="462"/>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名称</w:t>
                  </w:r>
                </w:p>
              </w:tc>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规格型号</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 xml:space="preserve">    数量</w:t>
                  </w:r>
                </w:p>
              </w:tc>
            </w:tr>
            <w:tr>
              <w:tc>
                <w:tcPr>
                  <w:tcW w:type="dxa" w:w="1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媒体资源平台</w:t>
                  </w:r>
                  <w:r>
                    <w:rPr>
                      <w:rFonts w:ascii="仿宋_GB2312" w:hAnsi="仿宋_GB2312" w:cs="仿宋_GB2312" w:eastAsia="仿宋_GB2312"/>
                      <w:sz w:val="21"/>
                    </w:rPr>
                    <w:t>MCU</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VP9850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2台</w:t>
                  </w:r>
                </w:p>
              </w:tc>
            </w:tr>
            <w:tr>
              <w:tc>
                <w:tcPr>
                  <w:tcW w:type="dxa" w:w="192"/>
                  <w:vMerge/>
                  <w:tcBorders>
                    <w:top w:val="none" w:color="000000" w:sz="4"/>
                    <w:left w:val="single" w:color="000000" w:sz="4"/>
                    <w:bottom w:val="single" w:color="000000" w:sz="4"/>
                    <w:right w:val="single" w:color="000000" w:sz="4"/>
                  </w:tcBorders>
                </w:tcPr>
                <w:p/>
              </w:tc>
              <w:tc>
                <w:tcPr>
                  <w:tcW w:type="dxa" w:w="733"/>
                  <w:vMerge/>
                  <w:tcBorders>
                    <w:top w:val="none" w:color="000000" w:sz="4"/>
                    <w:left w:val="single" w:color="000000" w:sz="4"/>
                    <w:bottom w:val="single" w:color="000000" w:sz="4"/>
                    <w:right w:val="single" w:color="000000" w:sz="4"/>
                  </w:tcBorders>
                </w:tcP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VP9860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2台</w:t>
                  </w:r>
                </w:p>
              </w:tc>
            </w:tr>
            <w:tr>
              <w:tc>
                <w:tcPr>
                  <w:tcW w:type="dxa" w:w="1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业务管理平台</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华为业务管理平台</w:t>
                  </w:r>
                  <w:r>
                    <w:rPr>
                      <w:rFonts w:ascii="仿宋_GB2312" w:hAnsi="仿宋_GB2312" w:cs="仿宋_GB2312" w:eastAsia="仿宋_GB2312"/>
                      <w:sz w:val="21"/>
                    </w:rPr>
                    <w:t>SMC2.0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1台</w:t>
                  </w:r>
                </w:p>
              </w:tc>
            </w:tr>
            <w:tr>
              <w:tc>
                <w:tcPr>
                  <w:tcW w:type="dxa" w:w="192"/>
                  <w:vMerge/>
                  <w:tcBorders>
                    <w:top w:val="none" w:color="000000" w:sz="4"/>
                    <w:left w:val="single" w:color="000000" w:sz="4"/>
                    <w:bottom w:val="single" w:color="000000" w:sz="4"/>
                    <w:right w:val="single" w:color="000000" w:sz="4"/>
                  </w:tcBorders>
                </w:tcPr>
                <w:p/>
              </w:tc>
              <w:tc>
                <w:tcPr>
                  <w:tcW w:type="dxa" w:w="733"/>
                  <w:vMerge/>
                  <w:tcBorders>
                    <w:top w:val="none" w:color="000000" w:sz="4"/>
                    <w:left w:val="single" w:color="000000" w:sz="4"/>
                    <w:bottom w:val="single" w:color="000000" w:sz="4"/>
                    <w:right w:val="single" w:color="000000" w:sz="4"/>
                  </w:tcBorders>
                </w:tcP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SMC 软件授权扩容</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1套</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融合网关</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VDC融合网关</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双屏协作会商终端</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CloudLink RoomPresence 65T</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1套</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单屏协作会商终端</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CloudLink RoomPresence 75S</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46套</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视频会议设备</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IdeaHub ES2 Pro 75</w:t>
                  </w:r>
                  <w:r>
                    <w:br/>
                  </w:r>
                  <w:r>
                    <w:rPr>
                      <w:rFonts w:ascii="仿宋_GB2312" w:hAnsi="仿宋_GB2312" w:cs="仿宋_GB2312" w:eastAsia="仿宋_GB2312"/>
                      <w:sz w:val="21"/>
                    </w:rPr>
                    <w:t>CloudLink Camera 200（含支架）</w:t>
                  </w:r>
                  <w:r>
                    <w:br/>
                  </w:r>
                  <w:r>
                    <w:rPr>
                      <w:rFonts w:ascii="仿宋_GB2312" w:hAnsi="仿宋_GB2312" w:cs="仿宋_GB2312" w:eastAsia="仿宋_GB2312"/>
                      <w:sz w:val="21"/>
                    </w:rPr>
                    <w:t>CloudLink Mic 500</w:t>
                  </w:r>
                  <w:r>
                    <w:br/>
                  </w:r>
                  <w:r>
                    <w:rPr>
                      <w:rFonts w:ascii="仿宋_GB2312" w:hAnsi="仿宋_GB2312" w:cs="仿宋_GB2312" w:eastAsia="仿宋_GB2312"/>
                      <w:sz w:val="21"/>
                    </w:rPr>
                    <w:t>CloudLink Touch</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46套</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分体式视频会议终端</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BOX610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视频会议摄像机</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Cloudlink Camera 200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视频会议设备</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ideahub Pro 86</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2台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视频会议摄像机</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Cloudlink Camera 200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10台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视频会议设备</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ideahub Pro 65</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20台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视频会议设备</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ideahub S 65</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1台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会议云服务接入账号</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welink会议云服务接入账号</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100个</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会议并发数</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weilink会议并发数</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50个</w:t>
                  </w:r>
                </w:p>
              </w:tc>
            </w:tr>
            <w:tr>
              <w:tc>
                <w:tcPr>
                  <w:tcW w:type="dxa" w:w="1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移动</w:t>
                  </w:r>
                  <w:r>
                    <w:rPr>
                      <w:rFonts w:ascii="仿宋_GB2312" w:hAnsi="仿宋_GB2312" w:cs="仿宋_GB2312" w:eastAsia="仿宋_GB2312"/>
                      <w:sz w:val="21"/>
                    </w:rPr>
                    <w:t>PAD终端</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MatePAD Pro</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47台</w:t>
                  </w:r>
                </w:p>
              </w:tc>
            </w:tr>
            <w:tr>
              <w:tc>
                <w:tcPr>
                  <w:tcW w:type="dxa" w:w="192"/>
                  <w:vMerge/>
                  <w:tcBorders>
                    <w:top w:val="none" w:color="000000" w:sz="4"/>
                    <w:left w:val="single" w:color="000000" w:sz="4"/>
                    <w:bottom w:val="single" w:color="000000" w:sz="4"/>
                    <w:right w:val="single" w:color="000000" w:sz="4"/>
                  </w:tcBorders>
                </w:tcPr>
                <w:p/>
              </w:tc>
              <w:tc>
                <w:tcPr>
                  <w:tcW w:type="dxa" w:w="733"/>
                  <w:vMerge/>
                  <w:tcBorders>
                    <w:top w:val="none" w:color="000000" w:sz="4"/>
                    <w:left w:val="single" w:color="000000" w:sz="4"/>
                    <w:bottom w:val="single" w:color="000000" w:sz="4"/>
                    <w:right w:val="single" w:color="000000" w:sz="4"/>
                  </w:tcBorders>
                </w:tcP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华为</w:t>
                  </w:r>
                  <w:r>
                    <w:rPr>
                      <w:rFonts w:ascii="仿宋_GB2312" w:hAnsi="仿宋_GB2312" w:cs="仿宋_GB2312" w:eastAsia="仿宋_GB2312"/>
                      <w:sz w:val="21"/>
                    </w:rPr>
                    <w:t>C5</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44台</w:t>
                  </w:r>
                </w:p>
              </w:tc>
            </w:tr>
          </w:tbl>
          <w:p>
            <w:pPr>
              <w:pStyle w:val="null3"/>
              <w:ind w:left="420"/>
              <w:jc w:val="both"/>
            </w:pPr>
            <w:r>
              <w:rPr>
                <w:rFonts w:ascii="仿宋_GB2312" w:hAnsi="仿宋_GB2312" w:cs="仿宋_GB2312" w:eastAsia="仿宋_GB2312"/>
                <w:sz w:val="21"/>
                <w:b/>
              </w:rPr>
              <w:t>3.</w:t>
            </w:r>
            <w:r>
              <w:rPr>
                <w:rFonts w:ascii="仿宋_GB2312" w:hAnsi="仿宋_GB2312" w:cs="仿宋_GB2312" w:eastAsia="仿宋_GB2312"/>
                <w:sz w:val="21"/>
                <w:b/>
              </w:rPr>
              <w:t>项目保障</w:t>
            </w:r>
          </w:p>
          <w:p>
            <w:pPr>
              <w:pStyle w:val="null3"/>
              <w:ind w:left="570"/>
              <w:jc w:val="both"/>
            </w:pPr>
            <w:r>
              <w:rPr>
                <w:rFonts w:ascii="仿宋_GB2312" w:hAnsi="仿宋_GB2312" w:cs="仿宋_GB2312" w:eastAsia="仿宋_GB2312"/>
                <w:sz w:val="21"/>
                <w:b/>
              </w:rPr>
              <w:t>3.1.</w:t>
            </w:r>
            <w:r>
              <w:rPr>
                <w:rFonts w:ascii="仿宋_GB2312" w:hAnsi="仿宋_GB2312" w:cs="仿宋_GB2312" w:eastAsia="仿宋_GB2312"/>
                <w:sz w:val="21"/>
                <w:b/>
              </w:rPr>
              <w:t>考核指标</w:t>
            </w:r>
          </w:p>
          <w:p>
            <w:pPr>
              <w:pStyle w:val="null3"/>
              <w:jc w:val="both"/>
            </w:pPr>
            <w:r>
              <w:rPr>
                <w:rFonts w:ascii="仿宋_GB2312" w:hAnsi="仿宋_GB2312" w:cs="仿宋_GB2312" w:eastAsia="仿宋_GB2312"/>
                <w:sz w:val="21"/>
                <w:b/>
              </w:rPr>
              <w:t>考核标准见合同附件二。</w:t>
            </w:r>
          </w:p>
          <w:p>
            <w:pPr>
              <w:pStyle w:val="null3"/>
              <w:ind w:left="570"/>
              <w:jc w:val="both"/>
            </w:pPr>
            <w:r>
              <w:rPr>
                <w:rFonts w:ascii="仿宋_GB2312" w:hAnsi="仿宋_GB2312" w:cs="仿宋_GB2312" w:eastAsia="仿宋_GB2312"/>
                <w:sz w:val="21"/>
                <w:b/>
              </w:rPr>
              <w:t>3.2.</w:t>
            </w:r>
            <w:r>
              <w:rPr>
                <w:rFonts w:ascii="仿宋_GB2312" w:hAnsi="仿宋_GB2312" w:cs="仿宋_GB2312" w:eastAsia="仿宋_GB2312"/>
                <w:sz w:val="21"/>
                <w:b/>
              </w:rPr>
              <w:t>应急保障</w:t>
            </w:r>
          </w:p>
          <w:p>
            <w:pPr>
              <w:pStyle w:val="null3"/>
              <w:spacing w:after="45"/>
              <w:jc w:val="both"/>
            </w:pPr>
            <w:r>
              <w:rPr>
                <w:rFonts w:ascii="仿宋_GB2312" w:hAnsi="仿宋_GB2312" w:cs="仿宋_GB2312" w:eastAsia="仿宋_GB2312"/>
                <w:sz w:val="21"/>
              </w:rPr>
              <w:t>服务商提供的应急状况措施需有详细应急管理办法。要评估运维服务中可能发生的突发状况，并制定相应的应急预案，确保系统运行可靠、稳定，保证运维服务工作有序推进。对技术难点、风险分析准确，应急管理</w:t>
            </w:r>
            <w:r>
              <w:rPr>
                <w:rFonts w:ascii="仿宋_GB2312" w:hAnsi="仿宋_GB2312" w:cs="仿宋_GB2312" w:eastAsia="仿宋_GB2312"/>
                <w:sz w:val="21"/>
              </w:rPr>
              <w:t>办法及预案详细可行。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预计2025年12月25日-2026年6月25日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2026年6月运维验收通过后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（二）未按合同要求提供服务或服务质量不能满足合同要求，采购人有权依据《民法典》有关条款及合同约定终止合同，并要求供应商承担违约责任。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本项目所属行业（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二、本项目专门面向中小企业采购（残疾人福利性单位、监狱企业视同小型、微型企业）。 三、需要落实的政府采购政策：1)《政府采购促进中小企业发展管理办法》（财库〔2020〕46号）、《财政部关于进一步加大政府采购支持中小企业力度》的通知（财库〔2022〕19号）、《陕西省财政厅关于进一步加大政府采购支持中小企业力度的通知》（陕财办采〔2022〕5号）；2)《财政部司法部关于政府采购支持监狱企业发展有关问题的通知》（财库〔2014〕68号）；3)《财政部民政部中国残疾人联合会关于促进残疾人就业政府采购政策的通知》（财库〔2017〕141号）；4)《财政部国家发展改革委关于印发(节能产品政府采购实施意见)的通知》(财库〔2004〕185号)；5)《国务院办公厅关于建立政府强制采购节能产品制度的通知》(国办发〔2007〕51号)；6)《财政部环保总局关于环境标志产品政府采购实施的意见》(财库〔2006〕90号)；7)《财政部 发展改革委 生态环境部 市场监管总局关于调整优化节能产品、环境标志产品政府采购执行机制的通知》（财库〔2019〕9号）；8)《关于印发环境标志产品政府采购品目清单的通知》（财库〔2019〕18号）；9)《关于印发节能产品政府采购品目清单的通知》（财库〔2019〕19号）；10)《财政部、农业农村部、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关于政府采购支持绿色建材促进建筑品质提升试点工作的通知》（财库〔2020〕31 号）；14）《财政部办公厅关于组织地方预算单位做好2023年政府采购脱贫地区农副产品工作的通知》（财办库〔2023〕45 号）；15）《财政部住房城乡建设部工业和信息化部关于扩大政府采购绿色建材促进建筑品质提升政策实施范围的通知》（财库〔2022〕35号）；16）其他需要落实的政府采购政策。 四、根据西安市财政局《关于促进政府采购公平竞争优化营商环境的通知》（市财函[2021]431号）文中“第16条规定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 五、成交供应商在领取中标（成交）通知书前，须向采购代理机构提供纸质版投标文件3套（包括投标文件的全部内容）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1.1提供有效合格的具有社会统一信用代码的营业执照，其他组织经营的须提供合法凭证，自然人提供身份证明文件； 1.2财务状况报告：提供2024年度经审计的财务报告复印件或扫描件(须包括报告正文、资产负债表、现金流量表、利润表、附注和会计师事务所营业执照，报告正文应当有会计师事务所公章和2名注册会计师的签字及盖章。审计报告应当经过注册会计师行业统一监管平台备案赋码)；或递交投标文件截止时间前一年内投标人基本账户开户银行出具的资信证明；（以上两种形式的资料提供任何一种即可）； 1.3税收缴纳证明：提供 2025年 1月 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两种形式的资料提供任何一种即可）； 1.4社会保障资金缴纳证明：提供 2025年 1月 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两种形式的资料提供任何一种即可，代缴代办社会保障资金不予认可）； 1.5具备履行合同所必须的设备和专业技术能力的书面声明。</w:t>
            </w:r>
          </w:p>
        </w:tc>
        <w:tc>
          <w:tcPr>
            <w:tcW w:type="dxa" w:w="1661"/>
          </w:tcPr>
          <w:p>
            <w:pPr>
              <w:pStyle w:val="null3"/>
            </w:pPr>
            <w:r>
              <w:rPr>
                <w:rFonts w:ascii="仿宋_GB2312" w:hAnsi="仿宋_GB2312" w:cs="仿宋_GB2312" w:eastAsia="仿宋_GB2312"/>
              </w:rPr>
              <w:t>中小企业声明函 残疾人福利性单位声明函 084-供应商应提交的相关资格证明材料.docx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供应商需在项目电子化交易系统中按要求上传相应证明文件（同本评审表中第1项第1.2条“财务状况报告”）并进行电子签章。</w:t>
            </w:r>
          </w:p>
        </w:tc>
        <w:tc>
          <w:tcPr>
            <w:tcW w:type="dxa" w:w="1661"/>
          </w:tcPr>
          <w:p>
            <w:pPr>
              <w:pStyle w:val="null3"/>
            </w:pPr>
            <w:r>
              <w:rPr>
                <w:rFonts w:ascii="仿宋_GB2312" w:hAnsi="仿宋_GB2312" w:cs="仿宋_GB2312" w:eastAsia="仿宋_GB2312"/>
              </w:rPr>
              <w:t>响应函 084-供应商应提交的相关资格证明材料.docx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供应商需在项目电子化交易系统中按要求填写《投标（响应）函》或自行承诺并进行电子签章。</w:t>
            </w:r>
          </w:p>
        </w:tc>
        <w:tc>
          <w:tcPr>
            <w:tcW w:type="dxa" w:w="1661"/>
          </w:tcPr>
          <w:p>
            <w:pPr>
              <w:pStyle w:val="null3"/>
            </w:pPr>
            <w:r>
              <w:rPr>
                <w:rFonts w:ascii="仿宋_GB2312" w:hAnsi="仿宋_GB2312" w:cs="仿宋_GB2312" w:eastAsia="仿宋_GB2312"/>
              </w:rPr>
              <w:t>084-供应商应提交的相关资格证明材料.docx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单位负责人）授权委托书（附法定代表人（单位负责人）、被授权人身份证复印件；（法定代表人（单位负责人）直接参加的，须提供法定代表人（单位负责人）身份证明书及身份证复印件且与营业执照上信息须一致），非法人单位参照执行。</w:t>
            </w:r>
          </w:p>
        </w:tc>
        <w:tc>
          <w:tcPr>
            <w:tcW w:type="dxa" w:w="1661"/>
          </w:tcPr>
          <w:p>
            <w:pPr>
              <w:pStyle w:val="null3"/>
            </w:pPr>
            <w:r>
              <w:rPr>
                <w:rFonts w:ascii="仿宋_GB2312" w:hAnsi="仿宋_GB2312" w:cs="仿宋_GB2312" w:eastAsia="仿宋_GB2312"/>
              </w:rPr>
              <w:t>084-供应商应提交的相关资格证明材料.docx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084-供应商应提交的相关资格证明材料.docx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 084-商务及技术文件.docx 响应函 084-供应商应提交的相关资格证明材料.docx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084-商务及技术文件.docx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084-商务及技术文件.docx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084-商务及技术文件.docx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服务方案（服务体系）</w:t>
            </w:r>
          </w:p>
        </w:tc>
        <w:tc>
          <w:tcPr>
            <w:tcW w:type="dxa" w:w="2492"/>
          </w:tcPr>
          <w:p>
            <w:pPr>
              <w:pStyle w:val="null3"/>
            </w:pPr>
            <w:r>
              <w:rPr>
                <w:rFonts w:ascii="仿宋_GB2312" w:hAnsi="仿宋_GB2312" w:cs="仿宋_GB2312" w:eastAsia="仿宋_GB2312"/>
              </w:rPr>
              <w:t>1.供应商有完善的运行维护管理体系及服务策略，提供的标准化服务流程科学、合理、体系完善： 1）内容描述完整、详细，流程科学、合理，体系完善，得10分； 2）内容描述完整，有较为科学的流程、有合理性，得7分； 3）内容描述不完整，流程不科学或缺乏合理性，得4分；4）缺项或完全不能满足采购人要求，得0分。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084-商务及技术文件.docx</w:t>
            </w:r>
          </w:p>
        </w:tc>
      </w:tr>
      <w:tr>
        <w:tc>
          <w:tcPr>
            <w:tcW w:type="dxa" w:w="831"/>
            <w:vMerge/>
          </w:tcPr>
          <w:p/>
        </w:tc>
        <w:tc>
          <w:tcPr>
            <w:tcW w:type="dxa" w:w="1661"/>
          </w:tcPr>
          <w:p>
            <w:pPr>
              <w:pStyle w:val="null3"/>
            </w:pPr>
            <w:r>
              <w:rPr>
                <w:rFonts w:ascii="仿宋_GB2312" w:hAnsi="仿宋_GB2312" w:cs="仿宋_GB2312" w:eastAsia="仿宋_GB2312"/>
              </w:rPr>
              <w:t>服务方案（人员组织架构）</w:t>
            </w:r>
          </w:p>
        </w:tc>
        <w:tc>
          <w:tcPr>
            <w:tcW w:type="dxa" w:w="2492"/>
          </w:tcPr>
          <w:p>
            <w:pPr>
              <w:pStyle w:val="null3"/>
            </w:pPr>
            <w:r>
              <w:rPr>
                <w:rFonts w:ascii="仿宋_GB2312" w:hAnsi="仿宋_GB2312" w:cs="仿宋_GB2312" w:eastAsia="仿宋_GB2312"/>
              </w:rPr>
              <w:t>供应商的人员组织架构设置与管理科学合理，符合本项目实际情况，针对性强，有完善的项目管理方案、人员安排方案，有效保证团队本地化服务，整个项目的组织机构分工合理、责任明确，可保障服务质量： 1）内容描述完整、详细，人员组织架构设置与管理科学合理，方案完善，针对性强，符合本项目实际情况，得10分； 2）内容描述完整，人员组织架构设置与管理较为合理，方案基本完善，有针对性，基本满足本项目情况，得7分； 3）内容描述不完整，或无法满足采购人基本要求，得4分；4）缺项或完全不能满足采购人要求，得0分。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084-商务及技术文件.docx</w:t>
            </w:r>
          </w:p>
        </w:tc>
      </w:tr>
      <w:tr>
        <w:tc>
          <w:tcPr>
            <w:tcW w:type="dxa" w:w="831"/>
            <w:vMerge/>
          </w:tcPr>
          <w:p/>
        </w:tc>
        <w:tc>
          <w:tcPr>
            <w:tcW w:type="dxa" w:w="1661"/>
          </w:tcPr>
          <w:p>
            <w:pPr>
              <w:pStyle w:val="null3"/>
            </w:pPr>
            <w:r>
              <w:rPr>
                <w:rFonts w:ascii="仿宋_GB2312" w:hAnsi="仿宋_GB2312" w:cs="仿宋_GB2312" w:eastAsia="仿宋_GB2312"/>
              </w:rPr>
              <w:t>服务方案（应急预案）</w:t>
            </w:r>
          </w:p>
        </w:tc>
        <w:tc>
          <w:tcPr>
            <w:tcW w:type="dxa" w:w="2492"/>
          </w:tcPr>
          <w:p>
            <w:pPr>
              <w:pStyle w:val="null3"/>
            </w:pPr>
            <w:r>
              <w:rPr>
                <w:rFonts w:ascii="仿宋_GB2312" w:hAnsi="仿宋_GB2312" w:cs="仿宋_GB2312" w:eastAsia="仿宋_GB2312"/>
              </w:rPr>
              <w:t>供应商具有成熟应急预案体系，能评估运维中可能发生的突然状况，制定完整预案内容、合理应急人员安排和完善应急流程的应急方案，内容详细、完善，可操作性强，确保系统运行可靠、稳定，保证运维工作有序推进： 1）内容描述完整、详细，思路清晰、层次清楚，可操作性强，得10分； 2）内容描述完整，有较为清晰的思路清晰、有条理性及可操作性，得7分； 3）内容描述不完整，无法满足采购人基本要求或缺乏操作性，得4分；4）缺项或完全不能满足采购人要求，得0分。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084-商务及技术文件.docx</w:t>
            </w:r>
          </w:p>
        </w:tc>
      </w:tr>
      <w:tr>
        <w:tc>
          <w:tcPr>
            <w:tcW w:type="dxa" w:w="831"/>
            <w:vMerge/>
          </w:tcPr>
          <w:p/>
        </w:tc>
        <w:tc>
          <w:tcPr>
            <w:tcW w:type="dxa" w:w="1661"/>
          </w:tcPr>
          <w:p>
            <w:pPr>
              <w:pStyle w:val="null3"/>
            </w:pPr>
            <w:r>
              <w:rPr>
                <w:rFonts w:ascii="仿宋_GB2312" w:hAnsi="仿宋_GB2312" w:cs="仿宋_GB2312" w:eastAsia="仿宋_GB2312"/>
              </w:rPr>
              <w:t>服务保障（质量监督控制及信息安全管理体系）</w:t>
            </w:r>
          </w:p>
        </w:tc>
        <w:tc>
          <w:tcPr>
            <w:tcW w:type="dxa" w:w="2492"/>
          </w:tcPr>
          <w:p>
            <w:pPr>
              <w:pStyle w:val="null3"/>
            </w:pPr>
            <w:r>
              <w:rPr>
                <w:rFonts w:ascii="仿宋_GB2312" w:hAnsi="仿宋_GB2312" w:cs="仿宋_GB2312" w:eastAsia="仿宋_GB2312"/>
              </w:rPr>
              <w:t>供应商具有健全服务质量监督控制体系及信息安全管理体系，提供的服务流程科学、合理、体系完善，确保系统运行可靠、稳定并建立安全管理制度： 1）内容描述完整、详细，流程科学、合理，体系完善，得6分； 2）内容描述完整，有较为科学的流程、有合理性，得4分； 3）内容描述不完整，流程不科学或缺乏合理性，得2分；4）缺项或完全不能满足采购人要求，得0分。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084-商务及技术文件.docx</w:t>
            </w:r>
          </w:p>
        </w:tc>
      </w:tr>
      <w:tr>
        <w:tc>
          <w:tcPr>
            <w:tcW w:type="dxa" w:w="831"/>
            <w:vMerge/>
          </w:tcPr>
          <w:p/>
        </w:tc>
        <w:tc>
          <w:tcPr>
            <w:tcW w:type="dxa" w:w="1661"/>
          </w:tcPr>
          <w:p>
            <w:pPr>
              <w:pStyle w:val="null3"/>
            </w:pPr>
            <w:r>
              <w:rPr>
                <w:rFonts w:ascii="仿宋_GB2312" w:hAnsi="仿宋_GB2312" w:cs="仿宋_GB2312" w:eastAsia="仿宋_GB2312"/>
              </w:rPr>
              <w:t>服务保障（本地化服务和备品备件保障能力）</w:t>
            </w:r>
          </w:p>
        </w:tc>
        <w:tc>
          <w:tcPr>
            <w:tcW w:type="dxa" w:w="2492"/>
          </w:tcPr>
          <w:p>
            <w:pPr>
              <w:pStyle w:val="null3"/>
            </w:pPr>
            <w:r>
              <w:rPr>
                <w:rFonts w:ascii="仿宋_GB2312" w:hAnsi="仿宋_GB2312" w:cs="仿宋_GB2312" w:eastAsia="仿宋_GB2312"/>
              </w:rPr>
              <w:t>供应商具备本地化服务能力和备品备件保障能力，且具备完善的备件管理制度、响应及时并提供相关证明文件： 1）本地化服务能力强，有备品备件保障支持，有完善的备品备件管理制度，能及时提供响应，得6分； 2）有本地化服务能力及备品备件保障支持，相关管理制度不完善或响应不及时，得4分； 3）有备品备件保障支持，缺少本地化服务能力，不能及时响应，或无相关管理制度，得2分；4）缺项或完全不能满足采购人要求，得0分。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084-商务及技术文件.docx</w:t>
            </w:r>
          </w:p>
        </w:tc>
      </w:tr>
      <w:tr>
        <w:tc>
          <w:tcPr>
            <w:tcW w:type="dxa" w:w="831"/>
            <w:vMerge/>
          </w:tcPr>
          <w:p/>
        </w:tc>
        <w:tc>
          <w:tcPr>
            <w:tcW w:type="dxa" w:w="1661"/>
          </w:tcPr>
          <w:p>
            <w:pPr>
              <w:pStyle w:val="null3"/>
            </w:pPr>
            <w:r>
              <w:rPr>
                <w:rFonts w:ascii="仿宋_GB2312" w:hAnsi="仿宋_GB2312" w:cs="仿宋_GB2312" w:eastAsia="仿宋_GB2312"/>
              </w:rPr>
              <w:t>服务保障（服务热线技术支持）</w:t>
            </w:r>
          </w:p>
        </w:tc>
        <w:tc>
          <w:tcPr>
            <w:tcW w:type="dxa" w:w="2492"/>
          </w:tcPr>
          <w:p>
            <w:pPr>
              <w:pStyle w:val="null3"/>
            </w:pPr>
            <w:r>
              <w:rPr>
                <w:rFonts w:ascii="仿宋_GB2312" w:hAnsi="仿宋_GB2312" w:cs="仿宋_GB2312" w:eastAsia="仿宋_GB2312"/>
              </w:rPr>
              <w:t>供应商可提供7*24小时电话服务热线。支持范围包括问题提交、问题远程指导、分析和排除、产品功能介绍、配置、安装、调试、客户化以及使用中遇到的技术问题的咨询等： 1）提供符合标准的热线，支持范围完善，完全满足采购人需求，得6分； 2）提供符合标准的热线，支持范围能基本满足采购人需求，得4分； 3）不能提供服务热线或相应服务支持范围缺失，得2分；4）缺项或完全不能满足采购人要求，得0分。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084-商务及技术文件.docx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供应商可提供培训方案，供应商制定完整可行的培训方案，通过培训，使得采购人能具备运维管理能力等；1）培训计划、方案及措施完整、可行，有全面的规范、方案及技术操作等方面的培训，得6分； 2）培训计划、方案及措施基本完整，有相关的技术操作等方面的培训，得4分； 3）有培训计划、方案及措施，得2分。 4）缺项或完全不能满足采购人要求，得0分。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084-商务及技术文件.docx</w:t>
            </w:r>
          </w:p>
        </w:tc>
      </w:tr>
      <w:tr>
        <w:tc>
          <w:tcPr>
            <w:tcW w:type="dxa" w:w="831"/>
            <w:vMerge/>
          </w:tcPr>
          <w:p/>
        </w:tc>
        <w:tc>
          <w:tcPr>
            <w:tcW w:type="dxa" w:w="1661"/>
          </w:tcPr>
          <w:p>
            <w:pPr>
              <w:pStyle w:val="null3"/>
            </w:pPr>
            <w:r>
              <w:rPr>
                <w:rFonts w:ascii="仿宋_GB2312" w:hAnsi="仿宋_GB2312" w:cs="仿宋_GB2312" w:eastAsia="仿宋_GB2312"/>
              </w:rPr>
              <w:t>服务团队技术实力</w:t>
            </w:r>
          </w:p>
        </w:tc>
        <w:tc>
          <w:tcPr>
            <w:tcW w:type="dxa" w:w="2492"/>
          </w:tcPr>
          <w:p>
            <w:pPr>
              <w:pStyle w:val="null3"/>
            </w:pPr>
            <w:r>
              <w:rPr>
                <w:rFonts w:ascii="仿宋_GB2312" w:hAnsi="仿宋_GB2312" w:cs="仿宋_GB2312" w:eastAsia="仿宋_GB2312"/>
              </w:rPr>
              <w:t>供应商具备专业化的认证工程师服务团队，有效保证本项目顺利实施、运行维护，整体服务团队需具备如下资质能力，有效保证技术支持。 1、项目经理具备系统集成高级项目经理证书，满足得4分，未提供或不满足不得分。 2、 服务团队中具有中级及以上（网络、存储、视频会议方向）工程师1人得2分，最高得6分，未提供或不满足不得分。 3、提供ITSS认证的IT服务项目经理1人得1分，最高得2分，未提供或不满足不得分。 （提供以上所有人员在投标单位2025年至今任意3个月的社保缴纳证明文件，和持证人员的相关专业认证证书证明材料复印件并加盖供应商单位公章。）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084-商务及技术文件.docx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1.供应商具备ITSS信息技术服务运行维护标准符合性证书二级得2分，二级以上得4分。 2.供应商具备信息安全服务集成服务资质认证证书二级及以上证书，得3分。 3.供应商具备信息安全运维服务资质认证证书三级及以上证书得3分。 4.供应商具备信息安全管理体系、职业健康安全管理体系、信息技术服务管理体系认证证书，同时满足得3分，否则不得分。 以上提供相关证书扫描件。</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084-商务及技术文件.docx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提供2022年1月1日以来类似项目的业绩证明文件，每出具一份业绩证明文件得2分，满分6分，提供合同复印件等有效的证明材料。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084-商务及技术文件.docx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最终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详见附件：084-供应商应提交的相关资格证明材料.docx</w:t>
      </w:r>
    </w:p>
    <w:p>
      <w:pPr>
        <w:pStyle w:val="null3"/>
        <w:ind w:firstLine="960"/>
      </w:pPr>
      <w:r>
        <w:rPr>
          <w:rFonts w:ascii="仿宋_GB2312" w:hAnsi="仿宋_GB2312" w:cs="仿宋_GB2312" w:eastAsia="仿宋_GB2312"/>
        </w:rPr>
        <w:t>详见附件：084-商务及技术文件.docx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详见附件：084-采购合同.docx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