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F5AAA">
      <w:pPr>
        <w:keepNext w:val="0"/>
        <w:keepLines w:val="0"/>
        <w:pageBreakBefore w:val="0"/>
        <w:widowControl/>
        <w:kinsoku/>
        <w:wordWrap/>
        <w:overflowPunct/>
        <w:topLinePunct w:val="0"/>
        <w:autoSpaceDE/>
        <w:autoSpaceDN/>
        <w:bidi w:val="0"/>
        <w:adjustRightInd/>
        <w:snapToGrid/>
        <w:jc w:val="center"/>
        <w:textAlignment w:val="auto"/>
        <w:rPr>
          <w:rFonts w:hint="eastAsia" w:ascii="仿宋_GB2312" w:hAnsi="仿宋_GB2312" w:eastAsia="仿宋_GB2312" w:cs="仿宋_GB2312"/>
          <w:sz w:val="48"/>
          <w:szCs w:val="48"/>
          <w:highlight w:val="none"/>
        </w:rPr>
      </w:pPr>
    </w:p>
    <w:p w14:paraId="699AC9E5">
      <w:pPr>
        <w:jc w:val="center"/>
        <w:rPr>
          <w:rFonts w:hint="eastAsia" w:ascii="仿宋_GB2312" w:hAnsi="仿宋_GB2312" w:eastAsia="仿宋_GB2312" w:cs="仿宋_GB2312"/>
          <w:b/>
          <w:bCs/>
          <w:sz w:val="48"/>
          <w:szCs w:val="48"/>
          <w:highlight w:val="none"/>
        </w:rPr>
      </w:pPr>
    </w:p>
    <w:p w14:paraId="1387D0C5">
      <w:pPr>
        <w:jc w:val="center"/>
        <w:rPr>
          <w:rFonts w:hint="eastAsia" w:ascii="仿宋_GB2312" w:hAnsi="仿宋_GB2312" w:eastAsia="仿宋_GB2312" w:cs="仿宋_GB2312"/>
          <w:b/>
          <w:bCs/>
          <w:sz w:val="48"/>
          <w:szCs w:val="48"/>
          <w:highlight w:val="none"/>
        </w:rPr>
      </w:pPr>
    </w:p>
    <w:p w14:paraId="728D170D">
      <w:pPr>
        <w:jc w:val="center"/>
        <w:rPr>
          <w:rFonts w:hint="eastAsia" w:ascii="仿宋_GB2312" w:hAnsi="仿宋_GB2312" w:eastAsia="仿宋_GB2312" w:cs="仿宋_GB2312"/>
          <w:b/>
          <w:bCs/>
          <w:sz w:val="48"/>
          <w:szCs w:val="48"/>
          <w:highlight w:val="none"/>
        </w:rPr>
      </w:pPr>
      <w:r>
        <w:rPr>
          <w:rFonts w:hint="eastAsia" w:ascii="仿宋_GB2312" w:hAnsi="仿宋_GB2312" w:eastAsia="仿宋_GB2312" w:cs="仿宋_GB2312"/>
          <w:b/>
          <w:bCs/>
          <w:sz w:val="48"/>
          <w:szCs w:val="48"/>
          <w:highlight w:val="none"/>
        </w:rPr>
        <w:t>2025年度市政基础设施</w:t>
      </w:r>
    </w:p>
    <w:p w14:paraId="09B2EA24">
      <w:pPr>
        <w:jc w:val="center"/>
        <w:rPr>
          <w:rFonts w:hint="eastAsia" w:ascii="仿宋_GB2312" w:hAnsi="仿宋_GB2312" w:eastAsia="仿宋_GB2312" w:cs="仿宋_GB2312"/>
          <w:b/>
          <w:bCs/>
          <w:sz w:val="48"/>
          <w:szCs w:val="48"/>
          <w:highlight w:val="none"/>
        </w:rPr>
      </w:pPr>
      <w:r>
        <w:rPr>
          <w:rFonts w:hint="eastAsia" w:ascii="仿宋_GB2312" w:hAnsi="仿宋_GB2312" w:eastAsia="仿宋_GB2312" w:cs="仿宋_GB2312"/>
          <w:b/>
          <w:bCs/>
          <w:sz w:val="48"/>
          <w:szCs w:val="48"/>
          <w:highlight w:val="none"/>
        </w:rPr>
        <w:t>初步设计联评联审技术咨询服务项目</w:t>
      </w:r>
    </w:p>
    <w:p w14:paraId="11E2E0B1">
      <w:pPr>
        <w:pStyle w:val="2"/>
        <w:ind w:left="0" w:leftChars="0" w:firstLine="0" w:firstLineChars="0"/>
        <w:rPr>
          <w:rFonts w:hint="eastAsia" w:ascii="仿宋_GB2312" w:hAnsi="仿宋_GB2312" w:eastAsia="仿宋_GB2312" w:cs="仿宋_GB2312"/>
          <w:sz w:val="30"/>
          <w:szCs w:val="30"/>
          <w:highlight w:val="none"/>
        </w:rPr>
      </w:pPr>
    </w:p>
    <w:p w14:paraId="7EC8F911">
      <w:pPr>
        <w:pStyle w:val="2"/>
        <w:ind w:left="0" w:leftChars="0" w:firstLine="0" w:firstLineChars="0"/>
        <w:rPr>
          <w:rFonts w:hint="eastAsia" w:ascii="仿宋_GB2312" w:hAnsi="仿宋_GB2312" w:eastAsia="仿宋_GB2312" w:cs="仿宋_GB2312"/>
          <w:sz w:val="30"/>
          <w:szCs w:val="30"/>
          <w:highlight w:val="none"/>
        </w:rPr>
      </w:pPr>
    </w:p>
    <w:p w14:paraId="3F870988">
      <w:pPr>
        <w:pStyle w:val="2"/>
        <w:ind w:left="0" w:leftChars="0" w:firstLine="0" w:firstLineChars="0"/>
        <w:rPr>
          <w:rFonts w:hint="eastAsia" w:ascii="仿宋_GB2312" w:hAnsi="仿宋_GB2312" w:eastAsia="仿宋_GB2312" w:cs="仿宋_GB2312"/>
          <w:sz w:val="30"/>
          <w:szCs w:val="30"/>
          <w:highlight w:val="none"/>
        </w:rPr>
      </w:pPr>
    </w:p>
    <w:p w14:paraId="4AD1FA29">
      <w:pPr>
        <w:keepNext w:val="0"/>
        <w:keepLines w:val="0"/>
        <w:pageBreakBefore w:val="0"/>
        <w:widowControl/>
        <w:kinsoku/>
        <w:wordWrap/>
        <w:overflowPunct/>
        <w:topLinePunct w:val="0"/>
        <w:autoSpaceDE/>
        <w:autoSpaceDN/>
        <w:bidi w:val="0"/>
        <w:adjustRightInd/>
        <w:snapToGrid/>
        <w:spacing w:line="480" w:lineRule="auto"/>
        <w:ind w:left="4500" w:hanging="4500" w:hangingChars="1500"/>
        <w:jc w:val="left"/>
        <w:textAlignment w:val="auto"/>
        <w:rPr>
          <w:rFonts w:hint="eastAsia" w:ascii="仿宋_GB2312" w:hAnsi="仿宋_GB2312" w:eastAsia="仿宋_GB2312" w:cs="仿宋_GB2312"/>
          <w:sz w:val="30"/>
          <w:szCs w:val="30"/>
          <w:highlight w:val="none"/>
          <w:u w:val="single"/>
        </w:rPr>
      </w:pPr>
      <w:r>
        <w:rPr>
          <w:rFonts w:hint="eastAsia" w:ascii="仿宋_GB2312" w:hAnsi="仿宋_GB2312" w:eastAsia="仿宋_GB2312" w:cs="仿宋_GB2312"/>
          <w:sz w:val="30"/>
          <w:szCs w:val="30"/>
          <w:highlight w:val="none"/>
        </w:rPr>
        <w:t>项目名称：</w:t>
      </w:r>
      <w:r>
        <w:rPr>
          <w:rFonts w:hint="eastAsia" w:ascii="仿宋_GB2312" w:hAnsi="仿宋_GB2312" w:eastAsia="仿宋_GB2312" w:cs="仿宋_GB2312"/>
          <w:sz w:val="30"/>
          <w:szCs w:val="30"/>
          <w:highlight w:val="none"/>
          <w:u w:val="single"/>
        </w:rPr>
        <w:t>2025年度市政基础设施初步设计联评联审技术咨询</w:t>
      </w:r>
    </w:p>
    <w:p w14:paraId="34832D0D">
      <w:pPr>
        <w:keepNext w:val="0"/>
        <w:keepLines w:val="0"/>
        <w:pageBreakBefore w:val="0"/>
        <w:widowControl/>
        <w:kinsoku/>
        <w:wordWrap/>
        <w:overflowPunct/>
        <w:topLinePunct w:val="0"/>
        <w:autoSpaceDE/>
        <w:autoSpaceDN/>
        <w:bidi w:val="0"/>
        <w:adjustRightInd/>
        <w:snapToGrid/>
        <w:spacing w:line="480" w:lineRule="auto"/>
        <w:ind w:left="3870" w:leftChars="700" w:hanging="2400" w:hangingChars="800"/>
        <w:jc w:val="left"/>
        <w:textAlignment w:val="auto"/>
        <w:rPr>
          <w:rFonts w:hint="eastAsia" w:ascii="仿宋_GB2312" w:hAnsi="仿宋_GB2312" w:eastAsia="仿宋_GB2312" w:cs="仿宋_GB2312"/>
          <w:sz w:val="30"/>
          <w:szCs w:val="30"/>
          <w:highlight w:val="none"/>
          <w:u w:val="single"/>
        </w:rPr>
      </w:pPr>
      <w:r>
        <w:rPr>
          <w:rFonts w:hint="eastAsia" w:ascii="仿宋_GB2312" w:hAnsi="仿宋_GB2312" w:eastAsia="仿宋_GB2312" w:cs="仿宋_GB2312"/>
          <w:sz w:val="30"/>
          <w:szCs w:val="30"/>
          <w:highlight w:val="none"/>
          <w:u w:val="single"/>
        </w:rPr>
        <w:t xml:space="preserve">服务项目                             </w:t>
      </w:r>
    </w:p>
    <w:p w14:paraId="3B2F3D15">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建设地点：</w:t>
      </w:r>
      <w:r>
        <w:rPr>
          <w:rFonts w:hint="eastAsia" w:ascii="仿宋_GB2312" w:hAnsi="仿宋_GB2312" w:eastAsia="仿宋_GB2312" w:cs="仿宋_GB2312"/>
          <w:sz w:val="30"/>
          <w:szCs w:val="30"/>
          <w:highlight w:val="none"/>
          <w:u w:val="single"/>
        </w:rPr>
        <w:t xml:space="preserve">                西  安  市                   </w:t>
      </w:r>
    </w:p>
    <w:p w14:paraId="288F37D4">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30"/>
          <w:szCs w:val="30"/>
          <w:highlight w:val="none"/>
          <w:u w:val="single"/>
        </w:rPr>
      </w:pPr>
      <w:r>
        <w:rPr>
          <w:rFonts w:hint="eastAsia" w:ascii="仿宋_GB2312" w:hAnsi="仿宋_GB2312" w:eastAsia="仿宋_GB2312" w:cs="仿宋_GB2312"/>
          <w:sz w:val="30"/>
          <w:szCs w:val="30"/>
          <w:highlight w:val="none"/>
        </w:rPr>
        <w:t>合同编号：</w:t>
      </w:r>
      <w:r>
        <w:rPr>
          <w:rFonts w:hint="eastAsia" w:ascii="仿宋_GB2312" w:hAnsi="仿宋_GB2312" w:eastAsia="仿宋_GB2312" w:cs="仿宋_GB2312"/>
          <w:sz w:val="30"/>
          <w:szCs w:val="30"/>
          <w:highlight w:val="none"/>
          <w:u w:val="single"/>
        </w:rPr>
        <w:t xml:space="preserve">                                             </w:t>
      </w:r>
    </w:p>
    <w:p w14:paraId="0D9E378A">
      <w:pPr>
        <w:keepNext w:val="0"/>
        <w:keepLines w:val="0"/>
        <w:pageBreakBefore w:val="0"/>
        <w:widowControl/>
        <w:kinsoku/>
        <w:wordWrap/>
        <w:overflowPunct/>
        <w:topLinePunct w:val="0"/>
        <w:autoSpaceDE/>
        <w:autoSpaceDN/>
        <w:bidi w:val="0"/>
        <w:adjustRightInd/>
        <w:snapToGrid/>
        <w:spacing w:line="480" w:lineRule="auto"/>
        <w:ind w:left="1200" w:right="-82" w:rightChars="-39" w:hanging="1200" w:hangingChars="400"/>
        <w:jc w:val="left"/>
        <w:textAlignment w:val="auto"/>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计划依据：</w:t>
      </w:r>
      <w:r>
        <w:rPr>
          <w:rFonts w:hint="eastAsia" w:ascii="仿宋_GB2312" w:hAnsi="仿宋_GB2312" w:eastAsia="仿宋_GB2312" w:cs="仿宋_GB2312"/>
          <w:sz w:val="30"/>
          <w:szCs w:val="30"/>
          <w:highlight w:val="none"/>
          <w:u w:val="single"/>
        </w:rPr>
        <w:t xml:space="preserve">                                             </w:t>
      </w:r>
    </w:p>
    <w:p w14:paraId="657A80E3">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委托方（甲方）：</w:t>
      </w:r>
      <w:r>
        <w:rPr>
          <w:rFonts w:hint="eastAsia" w:ascii="仿宋_GB2312" w:hAnsi="仿宋_GB2312" w:eastAsia="仿宋_GB2312" w:cs="仿宋_GB2312"/>
          <w:sz w:val="30"/>
          <w:szCs w:val="30"/>
          <w:highlight w:val="none"/>
          <w:u w:val="single"/>
        </w:rPr>
        <w:t xml:space="preserve">      西安市住房和城乡建设局           </w:t>
      </w:r>
    </w:p>
    <w:p w14:paraId="69634B64">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承接方（乙方）：</w:t>
      </w:r>
      <w:r>
        <w:rPr>
          <w:rFonts w:hint="eastAsia" w:ascii="仿宋_GB2312" w:hAnsi="仿宋_GB2312" w:eastAsia="仿宋_GB2312" w:cs="仿宋_GB2312"/>
          <w:sz w:val="30"/>
          <w:szCs w:val="30"/>
          <w:highlight w:val="none"/>
          <w:u w:val="single"/>
        </w:rPr>
        <w:t xml:space="preserve">                                       </w:t>
      </w:r>
    </w:p>
    <w:p w14:paraId="0BCFF9E2">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签订日期：</w:t>
      </w:r>
      <w:r>
        <w:rPr>
          <w:rFonts w:hint="eastAsia" w:ascii="仿宋_GB2312" w:hAnsi="仿宋_GB2312" w:eastAsia="仿宋_GB2312" w:cs="仿宋_GB2312"/>
          <w:sz w:val="30"/>
          <w:szCs w:val="30"/>
          <w:highlight w:val="none"/>
          <w:u w:val="single"/>
        </w:rPr>
        <w:t xml:space="preserve">              2025年  月                     </w:t>
      </w:r>
    </w:p>
    <w:p w14:paraId="27872CC5">
      <w:pPr>
        <w:jc w:val="center"/>
        <w:rPr>
          <w:rFonts w:hint="eastAsia" w:ascii="仿宋_GB2312" w:hAnsi="仿宋_GB2312" w:eastAsia="仿宋_GB2312" w:cs="仿宋_GB2312"/>
          <w:sz w:val="30"/>
          <w:szCs w:val="30"/>
          <w:highlight w:val="none"/>
        </w:rPr>
      </w:pPr>
    </w:p>
    <w:p w14:paraId="38EA84D9">
      <w:pPr>
        <w:jc w:val="center"/>
        <w:rPr>
          <w:rFonts w:hint="eastAsia" w:ascii="仿宋_GB2312" w:hAnsi="仿宋_GB2312" w:eastAsia="仿宋_GB2312" w:cs="仿宋_GB2312"/>
          <w:sz w:val="30"/>
          <w:szCs w:val="30"/>
          <w:highlight w:val="none"/>
        </w:rPr>
      </w:pPr>
    </w:p>
    <w:p w14:paraId="3897FE1A">
      <w:pPr>
        <w:jc w:val="center"/>
        <w:rPr>
          <w:rFonts w:hint="eastAsia" w:ascii="仿宋_GB2312" w:hAnsi="仿宋_GB2312" w:eastAsia="仿宋_GB2312" w:cs="仿宋_GB2312"/>
          <w:sz w:val="30"/>
          <w:szCs w:val="30"/>
          <w:highlight w:val="none"/>
        </w:rPr>
      </w:pPr>
    </w:p>
    <w:p w14:paraId="3A5E24F3">
      <w:pPr>
        <w:jc w:val="center"/>
        <w:rPr>
          <w:rFonts w:hint="eastAsia" w:ascii="仿宋_GB2312" w:hAnsi="仿宋_GB2312" w:eastAsia="仿宋_GB2312" w:cs="仿宋_GB2312"/>
          <w:highlight w:val="none"/>
        </w:rPr>
      </w:pPr>
      <w:r>
        <w:rPr>
          <w:rFonts w:hint="eastAsia" w:ascii="仿宋_GB2312" w:hAnsi="仿宋_GB2312" w:eastAsia="仿宋_GB2312" w:cs="仿宋_GB2312"/>
          <w:sz w:val="30"/>
          <w:szCs w:val="30"/>
          <w:highlight w:val="none"/>
        </w:rPr>
        <w:t>西 安 市 勘 察 设 计 协 会 监 制</w:t>
      </w:r>
    </w:p>
    <w:p w14:paraId="2D4A8637">
      <w:pP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p>
    <w:p w14:paraId="33F85981">
      <w:pPr>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委托方（甲方）：</w:t>
      </w:r>
      <w:r>
        <w:rPr>
          <w:rFonts w:hint="eastAsia" w:ascii="仿宋_GB2312" w:hAnsi="仿宋_GB2312" w:eastAsia="仿宋_GB2312" w:cs="仿宋_GB2312"/>
          <w:sz w:val="28"/>
          <w:szCs w:val="28"/>
          <w:highlight w:val="none"/>
          <w:u w:val="single"/>
        </w:rPr>
        <w:t xml:space="preserve">      西安市住房和城乡建设局                 </w:t>
      </w:r>
    </w:p>
    <w:p w14:paraId="656C7926">
      <w:pPr>
        <w:spacing w:line="500" w:lineRule="exact"/>
        <w:ind w:firstLine="560" w:firstLineChars="200"/>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承接方（乙方）：</w:t>
      </w:r>
      <w:r>
        <w:rPr>
          <w:rFonts w:hint="eastAsia" w:ascii="仿宋_GB2312" w:hAnsi="仿宋_GB2312" w:eastAsia="仿宋_GB2312" w:cs="仿宋_GB2312"/>
          <w:sz w:val="28"/>
          <w:szCs w:val="28"/>
          <w:highlight w:val="none"/>
          <w:u w:val="single"/>
        </w:rPr>
        <w:t xml:space="preserve">                                             </w:t>
      </w:r>
    </w:p>
    <w:p w14:paraId="2C3E9325">
      <w:pPr>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甲方委托乙方承担</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u w:val="single"/>
          <w:lang w:eastAsia="zh-CN"/>
        </w:rPr>
        <w:t>2025年度市政基础设施初步设计联评联审技术咨询服务项目</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rPr>
        <w:t>工作，经双方协商一致，签</w:t>
      </w:r>
      <w:r>
        <w:rPr>
          <w:rFonts w:hint="eastAsia" w:ascii="仿宋_GB2312" w:hAnsi="仿宋_GB2312" w:eastAsia="仿宋_GB2312" w:cs="仿宋_GB2312"/>
          <w:sz w:val="28"/>
          <w:szCs w:val="28"/>
          <w:highlight w:val="none"/>
          <w:lang w:val="en-US" w:eastAsia="zh-CN"/>
        </w:rPr>
        <w:t>订</w:t>
      </w:r>
      <w:r>
        <w:rPr>
          <w:rFonts w:hint="eastAsia" w:ascii="仿宋_GB2312" w:hAnsi="仿宋_GB2312" w:eastAsia="仿宋_GB2312" w:cs="仿宋_GB2312"/>
          <w:sz w:val="28"/>
          <w:szCs w:val="28"/>
          <w:highlight w:val="none"/>
        </w:rPr>
        <w:t>本合同。</w:t>
      </w:r>
    </w:p>
    <w:p w14:paraId="66976361">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第一条  本合同依据《中华人民共和国民法典</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中华人民共和国建筑法</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中华人民共和国建设工程质量管理条例》《西安市人民政府办公厅关于印发建立和完善市政道路投资建设管理体制实施建设管理联评联审及规范验收办法的通知》（市政办发</w:t>
      </w:r>
      <w:r>
        <w:rPr>
          <w:rFonts w:hint="eastAsia" w:ascii="仿宋_GB2312" w:hAnsi="仿宋_GB2312" w:eastAsia="仿宋_GB2312" w:cs="仿宋_GB2312"/>
          <w:sz w:val="28"/>
          <w:szCs w:val="28"/>
          <w:highlight w:val="none"/>
          <w:lang w:eastAsia="zh-CN"/>
        </w:rPr>
        <w:t>〔2025〕25号</w:t>
      </w:r>
      <w:r>
        <w:rPr>
          <w:rFonts w:hint="eastAsia" w:ascii="仿宋_GB2312" w:hAnsi="仿宋_GB2312" w:eastAsia="仿宋_GB2312" w:cs="仿宋_GB2312"/>
          <w:sz w:val="28"/>
          <w:szCs w:val="28"/>
          <w:highlight w:val="none"/>
        </w:rPr>
        <w:t>）（以下简称《管理办法》</w:t>
      </w:r>
      <w:r>
        <w:rPr>
          <w:rFonts w:hint="eastAsia" w:ascii="仿宋_GB2312" w:hAnsi="仿宋_GB2312" w:eastAsia="仿宋_GB2312" w:cs="仿宋_GB2312"/>
          <w:sz w:val="28"/>
          <w:szCs w:val="28"/>
          <w:highlight w:val="none"/>
          <w:lang w:val="en-US" w:eastAsia="zh-CN"/>
        </w:rPr>
        <w:t>等法律规定进行签订</w:t>
      </w:r>
      <w:r>
        <w:rPr>
          <w:rFonts w:hint="eastAsia" w:ascii="仿宋_GB2312" w:hAnsi="仿宋_GB2312" w:eastAsia="仿宋_GB2312" w:cs="仿宋_GB2312"/>
          <w:sz w:val="28"/>
          <w:szCs w:val="28"/>
          <w:highlight w:val="none"/>
        </w:rPr>
        <w:t>。</w:t>
      </w:r>
    </w:p>
    <w:p w14:paraId="77FC52A5">
      <w:pPr>
        <w:spacing w:line="500" w:lineRule="exact"/>
        <w:ind w:firstLine="54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第二条  本合同初步设计联评联审技术咨询服务基本情况</w:t>
      </w:r>
    </w:p>
    <w:p w14:paraId="0F63B30E">
      <w:pPr>
        <w:spacing w:line="500" w:lineRule="exact"/>
        <w:ind w:firstLine="54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主要功能或目标</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本次项目对符合《管理办法》</w:t>
      </w:r>
      <w:r>
        <w:rPr>
          <w:rFonts w:hint="eastAsia" w:ascii="仿宋_GB2312" w:hAnsi="仿宋_GB2312" w:eastAsia="仿宋_GB2312" w:cs="仿宋_GB2312"/>
          <w:sz w:val="28"/>
          <w:szCs w:val="28"/>
          <w:highlight w:val="none"/>
          <w:lang w:val="en-US" w:eastAsia="zh-CN"/>
        </w:rPr>
        <w:t>及甲方</w:t>
      </w:r>
      <w:r>
        <w:rPr>
          <w:rFonts w:hint="eastAsia" w:ascii="仿宋_GB2312" w:hAnsi="仿宋_GB2312" w:eastAsia="仿宋_GB2312" w:cs="仿宋_GB2312"/>
          <w:sz w:val="28"/>
          <w:szCs w:val="28"/>
          <w:highlight w:val="none"/>
        </w:rPr>
        <w:t>要求的联评联审项目进行初步设计技术咨询服务，市政基础设施项目联评联审技术审查是确保市政工程符合相关规划、满足相关规范要求，审查设计方案合理性、可行性、经济性的重要手段。</w:t>
      </w:r>
    </w:p>
    <w:p w14:paraId="6C2F964C">
      <w:pPr>
        <w:spacing w:line="500" w:lineRule="exact"/>
        <w:ind w:firstLine="540"/>
        <w:rPr>
          <w:rFonts w:hint="eastAsia" w:ascii="仿宋_GB2312" w:hAnsi="仿宋_GB2312" w:eastAsia="仿宋_GB2312" w:cs="仿宋_GB2312"/>
          <w:sz w:val="28"/>
          <w:szCs w:val="28"/>
          <w:highlight w:val="none"/>
          <w:u w:val="single"/>
          <w:lang w:val="en-US" w:eastAsia="zh-CN"/>
        </w:rPr>
      </w:pPr>
      <w:r>
        <w:rPr>
          <w:rFonts w:hint="eastAsia" w:ascii="仿宋_GB2312" w:hAnsi="仿宋_GB2312" w:eastAsia="仿宋_GB2312" w:cs="仿宋_GB2312"/>
          <w:sz w:val="28"/>
          <w:szCs w:val="28"/>
          <w:highlight w:val="none"/>
          <w:lang w:val="en-US" w:eastAsia="zh-CN"/>
        </w:rPr>
        <w:t>服务期限：</w:t>
      </w:r>
      <w:r>
        <w:rPr>
          <w:rFonts w:hint="eastAsia" w:ascii="仿宋_GB2312" w:hAnsi="仿宋_GB2312" w:eastAsia="仿宋_GB2312" w:cs="仿宋_GB2312"/>
          <w:sz w:val="28"/>
          <w:szCs w:val="28"/>
          <w:highlight w:val="none"/>
          <w:u w:val="single"/>
          <w:lang w:val="en-US" w:eastAsia="zh-CN"/>
        </w:rPr>
        <w:t xml:space="preserve">                   </w:t>
      </w:r>
    </w:p>
    <w:p w14:paraId="7D277CAB">
      <w:pPr>
        <w:spacing w:line="500" w:lineRule="exact"/>
        <w:ind w:firstLine="540"/>
        <w:rPr>
          <w:rFonts w:hint="default" w:ascii="仿宋_GB2312" w:hAnsi="仿宋_GB2312" w:eastAsia="仿宋_GB2312" w:cs="仿宋_GB2312"/>
          <w:b w:val="0"/>
          <w:bCs w:val="0"/>
          <w:sz w:val="28"/>
          <w:szCs w:val="28"/>
          <w:highlight w:val="none"/>
          <w:u w:val="none"/>
          <w:lang w:val="en-US" w:eastAsia="zh-CN"/>
        </w:rPr>
      </w:pPr>
      <w:r>
        <w:rPr>
          <w:rFonts w:hint="eastAsia" w:ascii="仿宋_GB2312" w:hAnsi="仿宋_GB2312" w:eastAsia="仿宋_GB2312" w:cs="仿宋_GB2312"/>
          <w:b w:val="0"/>
          <w:bCs w:val="0"/>
          <w:sz w:val="28"/>
          <w:szCs w:val="28"/>
          <w:highlight w:val="none"/>
          <w:u w:val="none"/>
          <w:lang w:val="en-US" w:eastAsia="zh-CN"/>
        </w:rPr>
        <w:t>注：乙方须根据甲方的进度要求完成《2025年市本级、区县级初步设计联评联审项目清单（暂定）》计划审查的项目，对服务期限截止次日起计划内未审查的项目，乙方根据甲方的通知及要求将不再进行审查。</w:t>
      </w:r>
    </w:p>
    <w:p w14:paraId="06BC948B">
      <w:pPr>
        <w:spacing w:line="500" w:lineRule="exact"/>
        <w:ind w:firstLine="548" w:firstLineChars="196"/>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第三条  初步设计联评联审技术咨询服务费根据中标价计算，支付方式如下：</w:t>
      </w:r>
    </w:p>
    <w:p w14:paraId="7B64D723">
      <w:pPr>
        <w:spacing w:line="500" w:lineRule="exact"/>
        <w:ind w:firstLine="548" w:firstLineChars="196"/>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表3.1项目技术咨询费</w:t>
      </w:r>
    </w:p>
    <w:tbl>
      <w:tblPr>
        <w:tblStyle w:val="4"/>
        <w:tblW w:w="84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75"/>
        <w:gridCol w:w="1550"/>
        <w:gridCol w:w="3316"/>
      </w:tblGrid>
      <w:tr w14:paraId="63A74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shd w:val="clear" w:color="auto" w:fill="auto"/>
            <w:vAlign w:val="center"/>
          </w:tcPr>
          <w:p w14:paraId="0AAC3F8A">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项目名称</w:t>
            </w:r>
          </w:p>
        </w:tc>
        <w:tc>
          <w:tcPr>
            <w:tcW w:w="1550" w:type="dxa"/>
            <w:shd w:val="clear" w:color="auto" w:fill="auto"/>
            <w:vAlign w:val="center"/>
          </w:tcPr>
          <w:p w14:paraId="6A4D695C">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工程类别</w:t>
            </w:r>
          </w:p>
        </w:tc>
        <w:tc>
          <w:tcPr>
            <w:tcW w:w="3316" w:type="dxa"/>
            <w:shd w:val="clear" w:color="auto" w:fill="auto"/>
            <w:vAlign w:val="center"/>
          </w:tcPr>
          <w:p w14:paraId="20C3BF8B">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投资额（万元）</w:t>
            </w:r>
          </w:p>
        </w:tc>
      </w:tr>
      <w:tr w14:paraId="0AF49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shd w:val="clear" w:color="auto" w:fill="auto"/>
            <w:vAlign w:val="center"/>
          </w:tcPr>
          <w:p w14:paraId="702FD0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2025年度市政基础设施初步设计联评联审技术咨询服务项目</w:t>
            </w:r>
          </w:p>
        </w:tc>
        <w:tc>
          <w:tcPr>
            <w:tcW w:w="1550" w:type="dxa"/>
            <w:shd w:val="clear" w:color="auto" w:fill="auto"/>
            <w:vAlign w:val="center"/>
          </w:tcPr>
          <w:p w14:paraId="6B86E4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市政工程</w:t>
            </w:r>
          </w:p>
        </w:tc>
        <w:tc>
          <w:tcPr>
            <w:tcW w:w="3316" w:type="dxa"/>
            <w:shd w:val="clear" w:color="auto" w:fill="auto"/>
            <w:vAlign w:val="center"/>
          </w:tcPr>
          <w:p w14:paraId="2989B2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297.00</w:t>
            </w:r>
          </w:p>
          <w:p w14:paraId="13CEE7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该费用为</w:t>
            </w:r>
            <w:r>
              <w:rPr>
                <w:rFonts w:hint="eastAsia" w:ascii="仿宋_GB2312" w:hAnsi="仿宋_GB2312" w:eastAsia="仿宋_GB2312" w:cs="仿宋_GB2312"/>
                <w:color w:val="000000" w:themeColor="text1"/>
                <w:sz w:val="28"/>
                <w:szCs w:val="28"/>
                <w:highlight w:val="none"/>
                <w14:textFill>
                  <w14:solidFill>
                    <w14:schemeClr w14:val="tx1"/>
                  </w14:solidFill>
                </w14:textFill>
              </w:rPr>
              <w:t>最高限价</w:t>
            </w:r>
            <w:r>
              <w:rPr>
                <w:rFonts w:hint="eastAsia" w:ascii="仿宋_GB2312" w:hAnsi="仿宋_GB2312" w:eastAsia="仿宋_GB2312" w:cs="仿宋_GB2312"/>
                <w:color w:val="000000" w:themeColor="text1"/>
                <w:sz w:val="28"/>
                <w:szCs w:val="28"/>
                <w:highlight w:val="none"/>
                <w:lang w:eastAsia="zh-CN"/>
                <w14:textFill>
                  <w14:solidFill>
                    <w14:schemeClr w14:val="tx1"/>
                  </w14:solidFill>
                </w14:textFill>
              </w:rPr>
              <w:t>）</w:t>
            </w:r>
          </w:p>
        </w:tc>
      </w:tr>
      <w:tr w14:paraId="13BEC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5" w:type="dxa"/>
            <w:shd w:val="clear" w:color="auto" w:fill="auto"/>
            <w:vAlign w:val="center"/>
          </w:tcPr>
          <w:p w14:paraId="4742D4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咨询费用</w:t>
            </w:r>
          </w:p>
          <w:p w14:paraId="1E405E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（大写）</w:t>
            </w:r>
          </w:p>
        </w:tc>
        <w:tc>
          <w:tcPr>
            <w:tcW w:w="4866" w:type="dxa"/>
            <w:gridSpan w:val="2"/>
            <w:shd w:val="clear" w:color="auto" w:fill="auto"/>
            <w:vAlign w:val="center"/>
          </w:tcPr>
          <w:p w14:paraId="66F680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大写：                           </w:t>
            </w:r>
          </w:p>
          <w:p w14:paraId="0B257A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小写：                           </w:t>
            </w:r>
          </w:p>
        </w:tc>
      </w:tr>
      <w:tr w14:paraId="508A1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3575" w:type="dxa"/>
            <w:shd w:val="clear" w:color="auto" w:fill="auto"/>
            <w:vAlign w:val="center"/>
          </w:tcPr>
          <w:p w14:paraId="684E1B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咨询服务单位</w:t>
            </w:r>
          </w:p>
        </w:tc>
        <w:tc>
          <w:tcPr>
            <w:tcW w:w="4866" w:type="dxa"/>
            <w:gridSpan w:val="2"/>
            <w:shd w:val="clear" w:color="auto" w:fill="auto"/>
            <w:vAlign w:val="center"/>
          </w:tcPr>
          <w:p w14:paraId="0D2F28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left"/>
              <w:textAlignment w:val="auto"/>
              <w:rPr>
                <w:rFonts w:hint="eastAsia" w:ascii="仿宋_GB2312" w:hAnsi="仿宋_GB2312" w:eastAsia="仿宋_GB2312" w:cs="仿宋_GB2312"/>
                <w:color w:val="000000" w:themeColor="text1"/>
                <w:sz w:val="28"/>
                <w:szCs w:val="28"/>
                <w:highlight w:val="none"/>
                <w14:textFill>
                  <w14:solidFill>
                    <w14:schemeClr w14:val="tx1"/>
                  </w14:solidFill>
                </w14:textFill>
              </w:rPr>
            </w:pPr>
          </w:p>
        </w:tc>
      </w:tr>
    </w:tbl>
    <w:p w14:paraId="06CCC337">
      <w:pPr>
        <w:tabs>
          <w:tab w:val="left" w:pos="750"/>
        </w:tabs>
        <w:adjustRightInd w:val="0"/>
        <w:snapToGrid w:val="0"/>
        <w:spacing w:before="240"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3.1经招投标确定，本合同咨询服务费暂定</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元（人民币）。</w:t>
      </w:r>
    </w:p>
    <w:p w14:paraId="148F7CBF">
      <w:pPr>
        <w:tabs>
          <w:tab w:val="left" w:pos="750"/>
        </w:tabs>
        <w:adjustRightInd w:val="0"/>
        <w:snapToGrid w:val="0"/>
        <w:spacing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3.2乙方参照2025年初步设计联评联审项目清单，按项目逐项提供技术审查咨询服务。甲方分三期支付咨询服务费：</w:t>
      </w:r>
    </w:p>
    <w:p w14:paraId="01897B1F">
      <w:pPr>
        <w:spacing w:line="5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（1）签订合同后支付咨询服务费首期款；签订合同起 30 日内，支付合同总金额的50.00%。</w:t>
      </w:r>
    </w:p>
    <w:p w14:paraId="7E657DD3">
      <w:pPr>
        <w:numPr>
          <w:ilvl w:val="255"/>
          <w:numId w:val="0"/>
        </w:numPr>
        <w:spacing w:line="5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（2）完成初步设计技术审查报告初步成果并按项目比例超出首期款时，递交甲方确认后支付咨询服务费，达到付款条件起 30 日内，支付合同总金额的 40.00%。 </w:t>
      </w:r>
    </w:p>
    <w:p w14:paraId="4A4006B2">
      <w:pPr>
        <w:numPr>
          <w:ilvl w:val="255"/>
          <w:numId w:val="0"/>
        </w:numPr>
        <w:spacing w:line="5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（3）通过初步设计联评联审并完成项目最终成果后，付清剩余咨询服务费（当项目审查分批次完成时，上述付款节点可按已完成该节点项目个数占总项目数比例进度分批次据实支付），达到付款条件起 30 日内，支付合同总金额的 10.00%。</w:t>
      </w:r>
    </w:p>
    <w:p w14:paraId="039AE2C5">
      <w:pPr>
        <w:numPr>
          <w:ilvl w:val="-1"/>
          <w:numId w:val="0"/>
        </w:numPr>
        <w:spacing w:line="500" w:lineRule="exact"/>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3.3</w:t>
      </w:r>
      <w:r>
        <w:rPr>
          <w:rFonts w:hint="eastAsia" w:ascii="仿宋_GB2312" w:hAnsi="仿宋_GB2312" w:eastAsia="仿宋_GB2312" w:cs="仿宋_GB2312"/>
          <w:color w:val="auto"/>
          <w:sz w:val="28"/>
          <w:szCs w:val="28"/>
          <w:highlight w:val="none"/>
          <w:lang w:val="en-US" w:eastAsia="zh-CN"/>
        </w:rPr>
        <w:t>乙方参照2025年初步设计联评联审项目清单，结合甲方具体要求，按项目逐项提供技术审查咨询服务，单个项目技术审查咨询服务费为</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元。每个项目的技术审查咨询服务完成且经甲方验收合格后，乙方应按甲方要求开具合法有效发票，甲方在收到该发票后</w:t>
      </w:r>
    </w:p>
    <w:p w14:paraId="164A47E9">
      <w:pPr>
        <w:numPr>
          <w:ilvl w:val="-1"/>
          <w:numId w:val="0"/>
        </w:numPr>
        <w:spacing w:line="500" w:lineRule="exact"/>
        <w:ind w:firstLine="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个工作日内，向乙方支付对应项目的咨询服务费用。</w:t>
      </w:r>
    </w:p>
    <w:p w14:paraId="69FEC881">
      <w:pPr>
        <w:spacing w:line="50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3.4咨询服务费结算应根据当年</w:t>
      </w:r>
      <w:r>
        <w:rPr>
          <w:rFonts w:hint="eastAsia" w:ascii="仿宋_GB2312" w:hAnsi="仿宋_GB2312" w:eastAsia="仿宋_GB2312" w:cs="仿宋_GB2312"/>
          <w:color w:val="auto"/>
          <w:sz w:val="28"/>
          <w:szCs w:val="28"/>
          <w:highlight w:val="none"/>
          <w:lang w:val="en-US" w:eastAsia="zh-CN"/>
        </w:rPr>
        <w:t>实际</w:t>
      </w:r>
      <w:r>
        <w:rPr>
          <w:rFonts w:hint="eastAsia" w:ascii="仿宋_GB2312" w:hAnsi="仿宋_GB2312" w:eastAsia="仿宋_GB2312" w:cs="仿宋_GB2312"/>
          <w:color w:val="auto"/>
          <w:sz w:val="28"/>
          <w:szCs w:val="28"/>
          <w:highlight w:val="none"/>
        </w:rPr>
        <w:t>完成项目</w:t>
      </w:r>
      <w:r>
        <w:rPr>
          <w:rFonts w:hint="eastAsia" w:ascii="仿宋_GB2312" w:hAnsi="仿宋_GB2312" w:eastAsia="仿宋_GB2312" w:cs="仿宋_GB2312"/>
          <w:color w:val="auto"/>
          <w:sz w:val="28"/>
          <w:szCs w:val="28"/>
          <w:highlight w:val="none"/>
          <w:lang w:val="en-US" w:eastAsia="zh-CN"/>
        </w:rPr>
        <w:t>的</w:t>
      </w:r>
      <w:r>
        <w:rPr>
          <w:rFonts w:hint="eastAsia" w:ascii="仿宋_GB2312" w:hAnsi="仿宋_GB2312" w:eastAsia="仿宋_GB2312" w:cs="仿宋_GB2312"/>
          <w:color w:val="auto"/>
          <w:sz w:val="28"/>
          <w:szCs w:val="28"/>
          <w:highlight w:val="none"/>
        </w:rPr>
        <w:t>数量</w:t>
      </w:r>
      <w:r>
        <w:rPr>
          <w:rFonts w:hint="eastAsia" w:ascii="仿宋_GB2312" w:hAnsi="仿宋_GB2312" w:eastAsia="仿宋_GB2312" w:cs="仿宋_GB2312"/>
          <w:color w:val="auto"/>
          <w:sz w:val="28"/>
          <w:szCs w:val="28"/>
          <w:highlight w:val="none"/>
          <w:lang w:val="en-US" w:eastAsia="zh-CN"/>
        </w:rPr>
        <w:t>进行</w:t>
      </w:r>
      <w:r>
        <w:rPr>
          <w:rFonts w:hint="eastAsia" w:ascii="仿宋_GB2312" w:hAnsi="仿宋_GB2312" w:eastAsia="仿宋_GB2312" w:cs="仿宋_GB2312"/>
          <w:color w:val="auto"/>
          <w:sz w:val="28"/>
          <w:szCs w:val="28"/>
          <w:highlight w:val="none"/>
        </w:rPr>
        <w:t>结算，</w:t>
      </w:r>
      <w:r>
        <w:rPr>
          <w:rFonts w:hint="eastAsia" w:ascii="仿宋_GB2312" w:hAnsi="仿宋_GB2312" w:eastAsia="仿宋_GB2312" w:cs="仿宋_GB2312"/>
          <w:b/>
          <w:bCs/>
          <w:color w:val="auto"/>
          <w:sz w:val="28"/>
          <w:szCs w:val="28"/>
          <w:highlight w:val="none"/>
        </w:rPr>
        <w:t>最终结算合同额不高于中标价</w:t>
      </w:r>
      <w:r>
        <w:rPr>
          <w:rFonts w:hint="eastAsia" w:ascii="仿宋_GB2312" w:hAnsi="仿宋_GB2312" w:eastAsia="仿宋_GB2312" w:cs="仿宋_GB2312"/>
          <w:color w:val="auto"/>
          <w:sz w:val="28"/>
          <w:szCs w:val="28"/>
          <w:highlight w:val="none"/>
        </w:rPr>
        <w:t>。当年累计完成项目总数量少于计划审查项目总数量时，按实际完成项目数量</w:t>
      </w:r>
      <w:r>
        <w:rPr>
          <w:rFonts w:hint="eastAsia" w:ascii="仿宋_GB2312" w:hAnsi="仿宋_GB2312" w:eastAsia="仿宋_GB2312" w:cs="仿宋_GB2312"/>
          <w:color w:val="auto"/>
          <w:sz w:val="28"/>
          <w:szCs w:val="28"/>
          <w:highlight w:val="none"/>
          <w:lang w:val="en-US" w:eastAsia="zh-CN"/>
        </w:rPr>
        <w:t>据实结算</w:t>
      </w:r>
      <w:r>
        <w:rPr>
          <w:rFonts w:hint="eastAsia" w:ascii="仿宋_GB2312" w:hAnsi="仿宋_GB2312" w:eastAsia="仿宋_GB2312" w:cs="仿宋_GB2312"/>
          <w:color w:val="auto"/>
          <w:sz w:val="28"/>
          <w:szCs w:val="28"/>
          <w:highlight w:val="none"/>
        </w:rPr>
        <w:t>。</w:t>
      </w:r>
    </w:p>
    <w:p w14:paraId="4E8A197B">
      <w:pPr>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3.5乙方</w:t>
      </w:r>
      <w:r>
        <w:rPr>
          <w:rFonts w:hint="eastAsia" w:ascii="仿宋_GB2312" w:hAnsi="仿宋_GB2312" w:eastAsia="仿宋_GB2312" w:cs="仿宋_GB2312"/>
          <w:sz w:val="28"/>
          <w:szCs w:val="28"/>
          <w:highlight w:val="none"/>
          <w:lang w:val="en-US" w:eastAsia="zh-CN"/>
        </w:rPr>
        <w:t>若</w:t>
      </w:r>
      <w:r>
        <w:rPr>
          <w:rFonts w:hint="eastAsia" w:ascii="仿宋_GB2312" w:hAnsi="仿宋_GB2312" w:eastAsia="仿宋_GB2312" w:cs="仿宋_GB2312"/>
          <w:sz w:val="28"/>
          <w:szCs w:val="28"/>
          <w:highlight w:val="none"/>
        </w:rPr>
        <w:t>以联合体形式提供技术咨询服务的，本项目咨询服务费由甲方支付给联合体牵头方，联合体牵头方按照联合体协议约定比例向成员方分配和支付相应费用。</w:t>
      </w:r>
    </w:p>
    <w:p w14:paraId="1DAE8100">
      <w:pPr>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第四条  咨询服务内容及时限</w:t>
      </w:r>
    </w:p>
    <w:p w14:paraId="29EC3394">
      <w:pPr>
        <w:spacing w:line="500" w:lineRule="exact"/>
        <w:ind w:firstLine="573"/>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4.1初步设计联评联审技术咨询服务的主要内容包括：</w:t>
      </w:r>
    </w:p>
    <w:p w14:paraId="042D6B2E">
      <w:pPr>
        <w:spacing w:line="500" w:lineRule="exact"/>
        <w:ind w:firstLine="573"/>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（1）报送的审查资料是否齐全完整，是否符合《西安市市政基础设施项目初步设计审查标准及要点》的相关要求</w:t>
      </w:r>
      <w:r>
        <w:rPr>
          <w:rFonts w:hint="eastAsia" w:ascii="仿宋_GB2312" w:hAnsi="仿宋_GB2312" w:eastAsia="仿宋_GB2312" w:cs="仿宋_GB2312"/>
          <w:sz w:val="28"/>
          <w:szCs w:val="28"/>
          <w:highlight w:val="none"/>
          <w:lang w:eastAsia="zh-CN"/>
        </w:rPr>
        <w:t>。</w:t>
      </w:r>
    </w:p>
    <w:p w14:paraId="1D0640E4">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（2）市政公用基础设施工程的初步设计文件是否符合国家有关标准和规范</w:t>
      </w:r>
      <w:r>
        <w:rPr>
          <w:rFonts w:hint="eastAsia" w:ascii="仿宋_GB2312" w:hAnsi="仿宋_GB2312" w:eastAsia="仿宋_GB2312" w:cs="仿宋_GB2312"/>
          <w:sz w:val="28"/>
          <w:szCs w:val="28"/>
          <w:highlight w:val="none"/>
          <w:lang w:eastAsia="zh-CN"/>
        </w:rPr>
        <w:t>。</w:t>
      </w:r>
    </w:p>
    <w:p w14:paraId="35ADAB06">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（3）是否符合抗震、消防、节能、无障碍设计等有关强制性标准和规范，是否损害公众利益</w:t>
      </w:r>
      <w:r>
        <w:rPr>
          <w:rFonts w:hint="eastAsia" w:ascii="仿宋_GB2312" w:hAnsi="仿宋_GB2312" w:eastAsia="仿宋_GB2312" w:cs="仿宋_GB2312"/>
          <w:sz w:val="28"/>
          <w:szCs w:val="28"/>
          <w:highlight w:val="none"/>
          <w:lang w:eastAsia="zh-CN"/>
        </w:rPr>
        <w:t>。</w:t>
      </w:r>
    </w:p>
    <w:p w14:paraId="353ECE13">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（4）初步设计文件是否满足规定的深度要求</w:t>
      </w:r>
      <w:r>
        <w:rPr>
          <w:rFonts w:hint="eastAsia" w:ascii="仿宋_GB2312" w:hAnsi="仿宋_GB2312" w:eastAsia="仿宋_GB2312" w:cs="仿宋_GB2312"/>
          <w:sz w:val="28"/>
          <w:szCs w:val="28"/>
          <w:highlight w:val="none"/>
          <w:lang w:eastAsia="zh-CN"/>
        </w:rPr>
        <w:t>。</w:t>
      </w:r>
    </w:p>
    <w:p w14:paraId="6F1BA155">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（5）对项目涉及的各专业（</w:t>
      </w:r>
      <w:r>
        <w:rPr>
          <w:rFonts w:hint="eastAsia" w:ascii="仿宋_GB2312" w:hAnsi="仿宋_GB2312" w:eastAsia="仿宋_GB2312" w:cs="仿宋_GB2312"/>
          <w:sz w:val="28"/>
          <w:szCs w:val="28"/>
          <w:highlight w:val="none"/>
          <w:lang w:val="en-US" w:eastAsia="zh-CN"/>
        </w:rPr>
        <w:t>规划工程、道路工程、交通工程、桥梁工程、隧道工程、照明工程、绿化工程、排水工程</w:t>
      </w:r>
      <w:r>
        <w:rPr>
          <w:rFonts w:hint="eastAsia" w:ascii="仿宋_GB2312" w:hAnsi="仿宋_GB2312" w:eastAsia="仿宋_GB2312" w:cs="仿宋_GB2312"/>
          <w:sz w:val="28"/>
          <w:szCs w:val="28"/>
          <w:highlight w:val="none"/>
        </w:rPr>
        <w:t>）设计内容进行咨询，对其技术指标的掌握运用的合理性，对工程方案的全面性、可行性、合理性、经济性和结构的安全性等进行审查，并提出审查意见。</w:t>
      </w:r>
    </w:p>
    <w:p w14:paraId="1FEA38E8">
      <w:pPr>
        <w:spacing w:line="500" w:lineRule="exact"/>
        <w:ind w:firstLine="57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4.2结合《西安市2025年城市道路建设实施方案》，2025年符合《管理办法》要求的联评联审计划项目总数量为62项，包括21项市本级项目及41项区县级项目，项目清单详见附件1。具体项目可由甲方根据建设实施情况进行调整。该等调整不视为对本合同的变更，乙方不得据此要求增加费用或延长服务期限</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应无条件接受并执行甲方的调整安排</w:t>
      </w:r>
      <w:r>
        <w:rPr>
          <w:rFonts w:hint="eastAsia" w:ascii="仿宋_GB2312" w:hAnsi="仿宋_GB2312" w:eastAsia="仿宋_GB2312" w:cs="仿宋_GB2312"/>
          <w:sz w:val="28"/>
          <w:szCs w:val="28"/>
          <w:highlight w:val="none"/>
          <w:lang w:eastAsia="zh-CN"/>
        </w:rPr>
        <w:t>。</w:t>
      </w:r>
    </w:p>
    <w:p w14:paraId="30498A11">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4.3甲方按清单项目逐项组织开展初步设计技术审查工作，乙方在收到甲方按项目提交的完整初步设计文</w:t>
      </w:r>
      <w:r>
        <w:rPr>
          <w:rFonts w:hint="eastAsia" w:ascii="仿宋_GB2312" w:hAnsi="仿宋_GB2312" w:eastAsia="仿宋_GB2312" w:cs="仿宋_GB2312"/>
          <w:sz w:val="28"/>
          <w:szCs w:val="28"/>
          <w:highlight w:val="none"/>
          <w:lang w:eastAsia="zh-CN"/>
        </w:rPr>
        <w:t>件和</w:t>
      </w:r>
      <w:r>
        <w:rPr>
          <w:rFonts w:hint="eastAsia" w:ascii="仿宋_GB2312" w:hAnsi="仿宋_GB2312" w:eastAsia="仿宋_GB2312" w:cs="仿宋_GB2312"/>
          <w:sz w:val="28"/>
          <w:szCs w:val="28"/>
          <w:highlight w:val="none"/>
        </w:rPr>
        <w:t>审查资料后，应在10个工作日内向甲方提交相关项目的《初步设计技术审查报告》初步成果，由甲方组织完成相关项目的初步设计联评联审工作。</w:t>
      </w:r>
    </w:p>
    <w:p w14:paraId="5A39EEFA">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4.4 计划项目全部完成初步设计联评联审工作后，乙方</w:t>
      </w:r>
      <w:r>
        <w:rPr>
          <w:rFonts w:hint="eastAsia" w:ascii="仿宋_GB2312" w:hAnsi="仿宋_GB2312" w:eastAsia="仿宋_GB2312" w:cs="仿宋_GB2312"/>
          <w:sz w:val="28"/>
          <w:szCs w:val="28"/>
          <w:highlight w:val="none"/>
          <w:lang w:val="en-US" w:eastAsia="zh-CN"/>
        </w:rPr>
        <w:t>在服务期截止时间前</w:t>
      </w:r>
      <w:r>
        <w:rPr>
          <w:rFonts w:hint="eastAsia" w:ascii="仿宋_GB2312" w:hAnsi="仿宋_GB2312" w:eastAsia="仿宋_GB2312" w:cs="仿宋_GB2312"/>
          <w:sz w:val="28"/>
          <w:szCs w:val="28"/>
          <w:highlight w:val="none"/>
        </w:rPr>
        <w:t>向甲方提交</w:t>
      </w:r>
      <w:r>
        <w:rPr>
          <w:rFonts w:hint="eastAsia" w:ascii="仿宋_GB2312" w:hAnsi="仿宋_GB2312" w:eastAsia="仿宋_GB2312" w:cs="仿宋_GB2312"/>
          <w:sz w:val="28"/>
          <w:szCs w:val="28"/>
          <w:highlight w:val="none"/>
          <w:lang w:val="en-US" w:eastAsia="zh-CN"/>
        </w:rPr>
        <w:t>实际完成项目</w:t>
      </w:r>
      <w:r>
        <w:rPr>
          <w:rFonts w:hint="eastAsia" w:ascii="仿宋_GB2312" w:hAnsi="仿宋_GB2312" w:eastAsia="仿宋_GB2312" w:cs="仿宋_GB2312"/>
          <w:sz w:val="28"/>
          <w:szCs w:val="28"/>
          <w:highlight w:val="none"/>
        </w:rPr>
        <w:t>最终成果报告。</w:t>
      </w:r>
    </w:p>
    <w:p w14:paraId="1A110A39">
      <w:pPr>
        <w:spacing w:line="500" w:lineRule="exact"/>
        <w:ind w:firstLine="573"/>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第五条  甲方应向乙方提交项目初步设计的完整资料及文件，详见下表，存在缺项或不能提供的需</w:t>
      </w:r>
      <w:r>
        <w:rPr>
          <w:rFonts w:hint="eastAsia" w:ascii="仿宋_GB2312" w:hAnsi="仿宋_GB2312" w:eastAsia="仿宋_GB2312" w:cs="仿宋_GB2312"/>
          <w:sz w:val="28"/>
          <w:szCs w:val="28"/>
          <w:highlight w:val="none"/>
          <w:lang w:val="en-US" w:eastAsia="zh-CN"/>
        </w:rPr>
        <w:t>在发生前述情形之日起48小时内向甲方书面</w:t>
      </w:r>
      <w:r>
        <w:rPr>
          <w:rFonts w:hint="eastAsia" w:ascii="仿宋_GB2312" w:hAnsi="仿宋_GB2312" w:eastAsia="仿宋_GB2312" w:cs="仿宋_GB2312"/>
          <w:sz w:val="28"/>
          <w:szCs w:val="28"/>
          <w:highlight w:val="none"/>
        </w:rPr>
        <w:t>说明原因。</w:t>
      </w:r>
    </w:p>
    <w:p w14:paraId="6D2A0CAB">
      <w:pPr>
        <w:spacing w:line="500" w:lineRule="exact"/>
        <w:ind w:firstLine="548" w:firstLineChars="196"/>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表5.1甲方应向乙方提交资料及文件</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4012"/>
        <w:gridCol w:w="2354"/>
        <w:gridCol w:w="1435"/>
      </w:tblGrid>
      <w:tr w14:paraId="3C806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3" w:type="pct"/>
            <w:shd w:val="clear" w:color="auto" w:fill="auto"/>
            <w:vAlign w:val="center"/>
          </w:tcPr>
          <w:p w14:paraId="293D33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序号</w:t>
            </w:r>
          </w:p>
        </w:tc>
        <w:tc>
          <w:tcPr>
            <w:tcW w:w="2354" w:type="pct"/>
            <w:shd w:val="clear" w:color="auto" w:fill="auto"/>
            <w:vAlign w:val="center"/>
          </w:tcPr>
          <w:p w14:paraId="530810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文件名</w:t>
            </w:r>
          </w:p>
        </w:tc>
        <w:tc>
          <w:tcPr>
            <w:tcW w:w="1381" w:type="pct"/>
            <w:shd w:val="clear" w:color="auto" w:fill="auto"/>
            <w:vAlign w:val="center"/>
          </w:tcPr>
          <w:p w14:paraId="1F224D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文件要求</w:t>
            </w:r>
          </w:p>
        </w:tc>
        <w:tc>
          <w:tcPr>
            <w:tcW w:w="840" w:type="pct"/>
            <w:shd w:val="clear" w:color="auto" w:fill="auto"/>
            <w:vAlign w:val="center"/>
          </w:tcPr>
          <w:p w14:paraId="4FEF7A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Cs/>
                <w:sz w:val="24"/>
                <w:szCs w:val="24"/>
                <w:highlight w:val="none"/>
              </w:rPr>
              <w:t>不能提供或缺项的原因</w:t>
            </w:r>
          </w:p>
        </w:tc>
      </w:tr>
      <w:tr w14:paraId="50BE8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shd w:val="clear" w:color="auto" w:fill="auto"/>
            <w:vAlign w:val="center"/>
          </w:tcPr>
          <w:p w14:paraId="451652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(一)立项文件</w:t>
            </w:r>
          </w:p>
        </w:tc>
      </w:tr>
      <w:tr w14:paraId="5DB86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068F19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2354" w:type="pct"/>
            <w:shd w:val="clear" w:color="auto" w:fill="auto"/>
            <w:vAlign w:val="center"/>
          </w:tcPr>
          <w:p w14:paraId="2CCF87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项目建议书、可行性研究报告</w:t>
            </w:r>
          </w:p>
          <w:p w14:paraId="1E7DFB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批复文件</w:t>
            </w:r>
          </w:p>
        </w:tc>
        <w:tc>
          <w:tcPr>
            <w:tcW w:w="1381" w:type="pct"/>
            <w:shd w:val="clear" w:color="auto" w:fill="auto"/>
            <w:vAlign w:val="center"/>
          </w:tcPr>
          <w:p w14:paraId="2FEED2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批准机关、文件名称、文号；电子扫描件</w:t>
            </w:r>
          </w:p>
        </w:tc>
        <w:tc>
          <w:tcPr>
            <w:tcW w:w="840" w:type="pct"/>
            <w:shd w:val="clear" w:color="auto" w:fill="auto"/>
            <w:vAlign w:val="center"/>
          </w:tcPr>
          <w:p w14:paraId="6A10FD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p>
        </w:tc>
      </w:tr>
      <w:tr w14:paraId="54D55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shd w:val="clear" w:color="auto" w:fill="auto"/>
            <w:vAlign w:val="center"/>
          </w:tcPr>
          <w:p w14:paraId="534B6C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(二)政府批文、意见</w:t>
            </w:r>
          </w:p>
        </w:tc>
      </w:tr>
      <w:tr w14:paraId="7C78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1B30E3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2354" w:type="pct"/>
            <w:shd w:val="clear" w:color="auto" w:fill="auto"/>
            <w:vAlign w:val="center"/>
          </w:tcPr>
          <w:p w14:paraId="765E70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用地预审及选址意见书</w:t>
            </w:r>
          </w:p>
        </w:tc>
        <w:tc>
          <w:tcPr>
            <w:tcW w:w="1381" w:type="pct"/>
            <w:shd w:val="clear" w:color="auto" w:fill="auto"/>
            <w:vAlign w:val="center"/>
          </w:tcPr>
          <w:p w14:paraId="2CE1C3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1AFC08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762B0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46C0EE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2</w:t>
            </w:r>
          </w:p>
        </w:tc>
        <w:tc>
          <w:tcPr>
            <w:tcW w:w="2354" w:type="pct"/>
            <w:shd w:val="clear" w:color="auto" w:fill="auto"/>
            <w:vAlign w:val="center"/>
          </w:tcPr>
          <w:p w14:paraId="6C2F85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政府相关意见、纪要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3D342F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104ED6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7574E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shd w:val="clear" w:color="auto" w:fill="auto"/>
            <w:vAlign w:val="center"/>
          </w:tcPr>
          <w:p w14:paraId="592BA3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（三）部门意见及复函</w:t>
            </w:r>
          </w:p>
        </w:tc>
      </w:tr>
      <w:tr w14:paraId="41536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595F9F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2354" w:type="pct"/>
            <w:shd w:val="clear" w:color="auto" w:fill="auto"/>
            <w:vAlign w:val="center"/>
          </w:tcPr>
          <w:p w14:paraId="5659A4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住建部门意见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5371E0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0502B5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0086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70ABE2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2</w:t>
            </w:r>
          </w:p>
        </w:tc>
        <w:tc>
          <w:tcPr>
            <w:tcW w:w="2354" w:type="pct"/>
            <w:shd w:val="clear" w:color="auto" w:fill="auto"/>
            <w:vAlign w:val="center"/>
          </w:tcPr>
          <w:p w14:paraId="254823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资规部门意见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7D7EFB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50D07F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1326C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6A921B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3</w:t>
            </w:r>
          </w:p>
        </w:tc>
        <w:tc>
          <w:tcPr>
            <w:tcW w:w="2354" w:type="pct"/>
            <w:shd w:val="clear" w:color="auto" w:fill="auto"/>
            <w:vAlign w:val="center"/>
          </w:tcPr>
          <w:p w14:paraId="4C8E5F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水务部门意见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6DDF9C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509C5A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2DAE9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1BB97E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4</w:t>
            </w:r>
          </w:p>
        </w:tc>
        <w:tc>
          <w:tcPr>
            <w:tcW w:w="2354" w:type="pct"/>
            <w:shd w:val="clear" w:color="auto" w:fill="auto"/>
            <w:vAlign w:val="center"/>
          </w:tcPr>
          <w:p w14:paraId="6D93DE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生态部门意见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7CEA56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66EFC7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33230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3" w:type="pct"/>
            <w:shd w:val="clear" w:color="auto" w:fill="auto"/>
            <w:vAlign w:val="center"/>
          </w:tcPr>
          <w:p w14:paraId="5C5357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5</w:t>
            </w:r>
          </w:p>
        </w:tc>
        <w:tc>
          <w:tcPr>
            <w:tcW w:w="2354" w:type="pct"/>
            <w:shd w:val="clear" w:color="auto" w:fill="auto"/>
            <w:vAlign w:val="center"/>
          </w:tcPr>
          <w:p w14:paraId="41AABB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交警部门意见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632670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62971A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401BC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423" w:type="pct"/>
            <w:shd w:val="clear" w:color="auto" w:fill="auto"/>
            <w:vAlign w:val="center"/>
          </w:tcPr>
          <w:p w14:paraId="47280A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6</w:t>
            </w:r>
          </w:p>
        </w:tc>
        <w:tc>
          <w:tcPr>
            <w:tcW w:w="2354" w:type="pct"/>
            <w:shd w:val="clear" w:color="auto" w:fill="auto"/>
            <w:vAlign w:val="center"/>
          </w:tcPr>
          <w:p w14:paraId="3A50EF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城管部门意见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1FA9E8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606FCD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790AF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0828F1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7</w:t>
            </w:r>
          </w:p>
        </w:tc>
        <w:tc>
          <w:tcPr>
            <w:tcW w:w="2354" w:type="pct"/>
            <w:shd w:val="clear" w:color="auto" w:fill="auto"/>
            <w:vAlign w:val="center"/>
          </w:tcPr>
          <w:p w14:paraId="54D6F9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管线单位意见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2F94E5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10123E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58DDB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5983E1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8</w:t>
            </w:r>
          </w:p>
        </w:tc>
        <w:tc>
          <w:tcPr>
            <w:tcW w:w="2354" w:type="pct"/>
            <w:shd w:val="clear" w:color="auto" w:fill="auto"/>
            <w:vAlign w:val="center"/>
          </w:tcPr>
          <w:p w14:paraId="5A7A8E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文物部门意见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448EEE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20EBCC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5C1F8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291CB8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9</w:t>
            </w:r>
          </w:p>
        </w:tc>
        <w:tc>
          <w:tcPr>
            <w:tcW w:w="2354" w:type="pct"/>
            <w:shd w:val="clear" w:color="auto" w:fill="auto"/>
            <w:vAlign w:val="center"/>
          </w:tcPr>
          <w:p w14:paraId="3B547D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区县意见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53EB80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70D560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676C4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7FEE9D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10</w:t>
            </w:r>
          </w:p>
        </w:tc>
        <w:tc>
          <w:tcPr>
            <w:tcW w:w="2354" w:type="pct"/>
            <w:shd w:val="clear" w:color="auto" w:fill="auto"/>
            <w:vAlign w:val="center"/>
          </w:tcPr>
          <w:p w14:paraId="0397C2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项目其他相关重要单位意见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347EFA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0DA442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19312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shd w:val="clear" w:color="auto" w:fill="auto"/>
            <w:vAlign w:val="center"/>
          </w:tcPr>
          <w:p w14:paraId="409656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（四）联评联审意见</w:t>
            </w:r>
          </w:p>
        </w:tc>
      </w:tr>
      <w:tr w14:paraId="60257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048142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2354" w:type="pct"/>
            <w:shd w:val="clear" w:color="auto" w:fill="auto"/>
            <w:vAlign w:val="center"/>
          </w:tcPr>
          <w:p w14:paraId="407EA8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规划方案联评联审意见</w:t>
            </w:r>
            <w:r>
              <w:rPr>
                <w:rFonts w:hint="eastAsia" w:ascii="仿宋_GB2312" w:hAnsi="仿宋_GB2312" w:eastAsia="仿宋_GB2312" w:cs="仿宋_GB2312"/>
                <w:bCs/>
                <w:color w:val="000000" w:themeColor="text1"/>
                <w:sz w:val="24"/>
                <w:szCs w:val="24"/>
                <w:highlight w:val="none"/>
                <w14:textFill>
                  <w14:solidFill>
                    <w14:schemeClr w14:val="tx1"/>
                  </w14:solidFill>
                </w14:textFill>
              </w:rPr>
              <w:t>、回复执行情况（盖章）</w:t>
            </w:r>
          </w:p>
        </w:tc>
        <w:tc>
          <w:tcPr>
            <w:tcW w:w="1381" w:type="pct"/>
            <w:shd w:val="clear" w:color="auto" w:fill="auto"/>
            <w:vAlign w:val="center"/>
          </w:tcPr>
          <w:p w14:paraId="6CFB8A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电子扫描件</w:t>
            </w:r>
          </w:p>
        </w:tc>
        <w:tc>
          <w:tcPr>
            <w:tcW w:w="840" w:type="pct"/>
            <w:shd w:val="clear" w:color="auto" w:fill="auto"/>
            <w:vAlign w:val="center"/>
          </w:tcPr>
          <w:p w14:paraId="684CE3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p>
        </w:tc>
      </w:tr>
      <w:tr w14:paraId="2682D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shd w:val="clear" w:color="auto" w:fill="auto"/>
            <w:vAlign w:val="center"/>
          </w:tcPr>
          <w:p w14:paraId="4144C1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（五）基础资料</w:t>
            </w:r>
          </w:p>
        </w:tc>
      </w:tr>
      <w:tr w14:paraId="2A210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0AB81D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2354" w:type="pct"/>
            <w:shd w:val="clear" w:color="auto" w:fill="auto"/>
            <w:vAlign w:val="center"/>
          </w:tcPr>
          <w:p w14:paraId="4B4DBE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初勘报告</w:t>
            </w:r>
          </w:p>
        </w:tc>
        <w:tc>
          <w:tcPr>
            <w:tcW w:w="1381" w:type="pct"/>
            <w:shd w:val="clear" w:color="auto" w:fill="auto"/>
            <w:vAlign w:val="center"/>
          </w:tcPr>
          <w:p w14:paraId="361680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w:t>
            </w:r>
          </w:p>
        </w:tc>
        <w:tc>
          <w:tcPr>
            <w:tcW w:w="840" w:type="pct"/>
            <w:shd w:val="clear" w:color="auto" w:fill="auto"/>
            <w:vAlign w:val="center"/>
          </w:tcPr>
          <w:p w14:paraId="571902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173A4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450457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2</w:t>
            </w:r>
          </w:p>
        </w:tc>
        <w:tc>
          <w:tcPr>
            <w:tcW w:w="2354" w:type="pct"/>
            <w:shd w:val="clear" w:color="auto" w:fill="auto"/>
            <w:vAlign w:val="center"/>
          </w:tcPr>
          <w:p w14:paraId="0F0296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地形测量文件</w:t>
            </w:r>
          </w:p>
        </w:tc>
        <w:tc>
          <w:tcPr>
            <w:tcW w:w="1381" w:type="pct"/>
            <w:shd w:val="clear" w:color="auto" w:fill="auto"/>
            <w:vAlign w:val="center"/>
          </w:tcPr>
          <w:p w14:paraId="653F75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比例1：500</w:t>
            </w:r>
          </w:p>
          <w:p w14:paraId="3F6679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或1：1000</w:t>
            </w:r>
          </w:p>
        </w:tc>
        <w:tc>
          <w:tcPr>
            <w:tcW w:w="840" w:type="pct"/>
            <w:shd w:val="clear" w:color="auto" w:fill="auto"/>
            <w:vAlign w:val="center"/>
          </w:tcPr>
          <w:p w14:paraId="2D631B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59436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32714C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3</w:t>
            </w:r>
          </w:p>
        </w:tc>
        <w:tc>
          <w:tcPr>
            <w:tcW w:w="2354" w:type="pct"/>
            <w:shd w:val="clear" w:color="auto" w:fill="auto"/>
            <w:vAlign w:val="center"/>
          </w:tcPr>
          <w:p w14:paraId="1EAFB1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管线物探文件</w:t>
            </w:r>
          </w:p>
        </w:tc>
        <w:tc>
          <w:tcPr>
            <w:tcW w:w="1381" w:type="pct"/>
            <w:shd w:val="clear" w:color="auto" w:fill="auto"/>
            <w:vAlign w:val="center"/>
          </w:tcPr>
          <w:p w14:paraId="342464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比例1：500</w:t>
            </w:r>
          </w:p>
          <w:p w14:paraId="400963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或1：1000</w:t>
            </w:r>
          </w:p>
        </w:tc>
        <w:tc>
          <w:tcPr>
            <w:tcW w:w="840" w:type="pct"/>
            <w:shd w:val="clear" w:color="auto" w:fill="auto"/>
            <w:vAlign w:val="center"/>
          </w:tcPr>
          <w:p w14:paraId="62B895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4FF9E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7C79E5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4</w:t>
            </w:r>
          </w:p>
        </w:tc>
        <w:tc>
          <w:tcPr>
            <w:tcW w:w="2354" w:type="pct"/>
            <w:shd w:val="clear" w:color="auto" w:fill="auto"/>
            <w:vAlign w:val="center"/>
          </w:tcPr>
          <w:p w14:paraId="2E7BE3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文物勘探报告</w:t>
            </w:r>
          </w:p>
        </w:tc>
        <w:tc>
          <w:tcPr>
            <w:tcW w:w="1381" w:type="pct"/>
            <w:shd w:val="clear" w:color="auto" w:fill="auto"/>
            <w:vAlign w:val="center"/>
          </w:tcPr>
          <w:p w14:paraId="634BD9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840" w:type="pct"/>
            <w:shd w:val="clear" w:color="auto" w:fill="auto"/>
            <w:vAlign w:val="center"/>
          </w:tcPr>
          <w:p w14:paraId="719516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77291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50180D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5</w:t>
            </w:r>
          </w:p>
        </w:tc>
        <w:tc>
          <w:tcPr>
            <w:tcW w:w="2354" w:type="pct"/>
            <w:shd w:val="clear" w:color="auto" w:fill="auto"/>
            <w:vAlign w:val="center"/>
          </w:tcPr>
          <w:p w14:paraId="69594E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树木调查报告</w:t>
            </w:r>
          </w:p>
        </w:tc>
        <w:tc>
          <w:tcPr>
            <w:tcW w:w="1381" w:type="pct"/>
            <w:shd w:val="clear" w:color="auto" w:fill="auto"/>
            <w:vAlign w:val="center"/>
          </w:tcPr>
          <w:p w14:paraId="41BAF3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840" w:type="pct"/>
            <w:shd w:val="clear" w:color="auto" w:fill="auto"/>
            <w:vAlign w:val="center"/>
          </w:tcPr>
          <w:p w14:paraId="679D48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221FC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3" w:type="pct"/>
            <w:shd w:val="clear" w:color="auto" w:fill="auto"/>
            <w:vAlign w:val="center"/>
          </w:tcPr>
          <w:p w14:paraId="63B758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6</w:t>
            </w:r>
          </w:p>
        </w:tc>
        <w:tc>
          <w:tcPr>
            <w:tcW w:w="2354" w:type="pct"/>
            <w:shd w:val="clear" w:color="auto" w:fill="auto"/>
            <w:vAlign w:val="center"/>
          </w:tcPr>
          <w:p w14:paraId="1EE7EF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环评文件</w:t>
            </w:r>
          </w:p>
        </w:tc>
        <w:tc>
          <w:tcPr>
            <w:tcW w:w="1381" w:type="pct"/>
            <w:shd w:val="clear" w:color="auto" w:fill="auto"/>
            <w:vAlign w:val="center"/>
          </w:tcPr>
          <w:p w14:paraId="4367BE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840" w:type="pct"/>
            <w:shd w:val="clear" w:color="auto" w:fill="auto"/>
            <w:vAlign w:val="center"/>
          </w:tcPr>
          <w:p w14:paraId="696D1D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034DD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5C03CB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7</w:t>
            </w:r>
          </w:p>
        </w:tc>
        <w:tc>
          <w:tcPr>
            <w:tcW w:w="2354" w:type="pct"/>
            <w:shd w:val="clear" w:color="auto" w:fill="auto"/>
            <w:vAlign w:val="center"/>
          </w:tcPr>
          <w:p w14:paraId="2B1525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地震安评文件</w:t>
            </w:r>
          </w:p>
        </w:tc>
        <w:tc>
          <w:tcPr>
            <w:tcW w:w="1381" w:type="pct"/>
            <w:shd w:val="clear" w:color="auto" w:fill="auto"/>
            <w:vAlign w:val="center"/>
          </w:tcPr>
          <w:p w14:paraId="3A9BD7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840" w:type="pct"/>
            <w:shd w:val="clear" w:color="auto" w:fill="auto"/>
            <w:vAlign w:val="center"/>
          </w:tcPr>
          <w:p w14:paraId="057024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4E97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3" w:type="pct"/>
            <w:shd w:val="clear" w:color="auto" w:fill="auto"/>
            <w:vAlign w:val="center"/>
          </w:tcPr>
          <w:p w14:paraId="4F9CEF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8</w:t>
            </w:r>
          </w:p>
        </w:tc>
        <w:tc>
          <w:tcPr>
            <w:tcW w:w="2354" w:type="pct"/>
            <w:shd w:val="clear" w:color="auto" w:fill="auto"/>
            <w:vAlign w:val="center"/>
          </w:tcPr>
          <w:p w14:paraId="075D26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洪评报告（涉及防洪项目）</w:t>
            </w:r>
          </w:p>
        </w:tc>
        <w:tc>
          <w:tcPr>
            <w:tcW w:w="1381" w:type="pct"/>
            <w:shd w:val="clear" w:color="auto" w:fill="auto"/>
            <w:vAlign w:val="center"/>
          </w:tcPr>
          <w:p w14:paraId="620F65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p>
        </w:tc>
        <w:tc>
          <w:tcPr>
            <w:tcW w:w="840" w:type="pct"/>
            <w:shd w:val="clear" w:color="auto" w:fill="auto"/>
            <w:vAlign w:val="center"/>
          </w:tcPr>
          <w:p w14:paraId="5205F6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27FB9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shd w:val="clear" w:color="auto" w:fill="auto"/>
            <w:vAlign w:val="center"/>
          </w:tcPr>
          <w:p w14:paraId="016776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（六）初步设计文件</w:t>
            </w:r>
          </w:p>
        </w:tc>
      </w:tr>
      <w:tr w14:paraId="24B85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4BCB21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2354" w:type="pct"/>
            <w:shd w:val="clear" w:color="auto" w:fill="auto"/>
            <w:vAlign w:val="center"/>
          </w:tcPr>
          <w:p w14:paraId="739CF2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总体、道路工程</w:t>
            </w:r>
          </w:p>
        </w:tc>
        <w:tc>
          <w:tcPr>
            <w:tcW w:w="1381" w:type="pct"/>
            <w:shd w:val="clear" w:color="auto" w:fill="auto"/>
            <w:vAlign w:val="center"/>
          </w:tcPr>
          <w:p w14:paraId="6FB9BA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w:t>
            </w:r>
          </w:p>
          <w:p w14:paraId="7CDE0C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（pdf及cad）</w:t>
            </w:r>
          </w:p>
        </w:tc>
        <w:tc>
          <w:tcPr>
            <w:tcW w:w="840" w:type="pct"/>
            <w:shd w:val="clear" w:color="auto" w:fill="auto"/>
            <w:vAlign w:val="center"/>
          </w:tcPr>
          <w:p w14:paraId="0170EA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3327F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5009D8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2</w:t>
            </w:r>
          </w:p>
        </w:tc>
        <w:tc>
          <w:tcPr>
            <w:tcW w:w="2354" w:type="pct"/>
            <w:shd w:val="clear" w:color="auto" w:fill="auto"/>
            <w:vAlign w:val="center"/>
          </w:tcPr>
          <w:p w14:paraId="6FA1E5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交通工程及智慧交通</w:t>
            </w:r>
          </w:p>
        </w:tc>
        <w:tc>
          <w:tcPr>
            <w:tcW w:w="1381" w:type="pct"/>
            <w:shd w:val="clear" w:color="auto" w:fill="auto"/>
            <w:vAlign w:val="center"/>
          </w:tcPr>
          <w:p w14:paraId="0D2F43F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w:t>
            </w:r>
          </w:p>
          <w:p w14:paraId="24B57D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（pdf及cad）</w:t>
            </w:r>
          </w:p>
        </w:tc>
        <w:tc>
          <w:tcPr>
            <w:tcW w:w="840" w:type="pct"/>
            <w:shd w:val="clear" w:color="auto" w:fill="auto"/>
            <w:vAlign w:val="center"/>
          </w:tcPr>
          <w:p w14:paraId="5485D77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0D6A4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6CB227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3</w:t>
            </w:r>
          </w:p>
        </w:tc>
        <w:tc>
          <w:tcPr>
            <w:tcW w:w="2354" w:type="pct"/>
            <w:shd w:val="clear" w:color="auto" w:fill="auto"/>
            <w:vAlign w:val="center"/>
          </w:tcPr>
          <w:p w14:paraId="090C4A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桥梁工程</w:t>
            </w:r>
          </w:p>
        </w:tc>
        <w:tc>
          <w:tcPr>
            <w:tcW w:w="1381" w:type="pct"/>
            <w:shd w:val="clear" w:color="auto" w:fill="auto"/>
            <w:vAlign w:val="center"/>
          </w:tcPr>
          <w:p w14:paraId="2BCE4D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w:t>
            </w:r>
          </w:p>
          <w:p w14:paraId="49AFED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（pdf及cad）</w:t>
            </w:r>
          </w:p>
        </w:tc>
        <w:tc>
          <w:tcPr>
            <w:tcW w:w="840" w:type="pct"/>
            <w:shd w:val="clear" w:color="auto" w:fill="auto"/>
            <w:vAlign w:val="center"/>
          </w:tcPr>
          <w:p w14:paraId="549B79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028F7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151FF5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4</w:t>
            </w:r>
          </w:p>
        </w:tc>
        <w:tc>
          <w:tcPr>
            <w:tcW w:w="2354" w:type="pct"/>
            <w:shd w:val="clear" w:color="auto" w:fill="auto"/>
            <w:vAlign w:val="center"/>
          </w:tcPr>
          <w:p w14:paraId="3A53EE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隧道工程</w:t>
            </w:r>
          </w:p>
        </w:tc>
        <w:tc>
          <w:tcPr>
            <w:tcW w:w="1381" w:type="pct"/>
            <w:shd w:val="clear" w:color="auto" w:fill="auto"/>
            <w:vAlign w:val="center"/>
          </w:tcPr>
          <w:p w14:paraId="7CB6E4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电子文件（pdf及cad）</w:t>
            </w:r>
          </w:p>
        </w:tc>
        <w:tc>
          <w:tcPr>
            <w:tcW w:w="840" w:type="pct"/>
            <w:shd w:val="clear" w:color="auto" w:fill="auto"/>
            <w:vAlign w:val="center"/>
          </w:tcPr>
          <w:p w14:paraId="08C4A4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604C7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161F7B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5</w:t>
            </w:r>
          </w:p>
        </w:tc>
        <w:tc>
          <w:tcPr>
            <w:tcW w:w="2354" w:type="pct"/>
            <w:shd w:val="clear" w:color="auto" w:fill="auto"/>
            <w:vAlign w:val="center"/>
          </w:tcPr>
          <w:p w14:paraId="76F751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给排水工程</w:t>
            </w:r>
          </w:p>
        </w:tc>
        <w:tc>
          <w:tcPr>
            <w:tcW w:w="1381" w:type="pct"/>
            <w:shd w:val="clear" w:color="auto" w:fill="auto"/>
            <w:vAlign w:val="center"/>
          </w:tcPr>
          <w:p w14:paraId="178B7E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w:t>
            </w:r>
          </w:p>
          <w:p w14:paraId="06E6C2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（pdf及cad）</w:t>
            </w:r>
          </w:p>
        </w:tc>
        <w:tc>
          <w:tcPr>
            <w:tcW w:w="840" w:type="pct"/>
            <w:shd w:val="clear" w:color="auto" w:fill="auto"/>
            <w:vAlign w:val="center"/>
          </w:tcPr>
          <w:p w14:paraId="53F10C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02278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15507C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6</w:t>
            </w:r>
          </w:p>
        </w:tc>
        <w:tc>
          <w:tcPr>
            <w:tcW w:w="2354" w:type="pct"/>
            <w:shd w:val="clear" w:color="auto" w:fill="auto"/>
            <w:vAlign w:val="center"/>
          </w:tcPr>
          <w:p w14:paraId="7BF212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电气工程（照明工程、电力土建工程）</w:t>
            </w:r>
          </w:p>
        </w:tc>
        <w:tc>
          <w:tcPr>
            <w:tcW w:w="1381" w:type="pct"/>
            <w:shd w:val="clear" w:color="auto" w:fill="auto"/>
            <w:vAlign w:val="center"/>
          </w:tcPr>
          <w:p w14:paraId="42871F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w:t>
            </w:r>
          </w:p>
          <w:p w14:paraId="04AC7F1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（pdf及cad）</w:t>
            </w:r>
          </w:p>
        </w:tc>
        <w:tc>
          <w:tcPr>
            <w:tcW w:w="840" w:type="pct"/>
            <w:shd w:val="clear" w:color="auto" w:fill="auto"/>
            <w:vAlign w:val="center"/>
          </w:tcPr>
          <w:p w14:paraId="6E18F1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3462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3BFC3A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7</w:t>
            </w:r>
          </w:p>
        </w:tc>
        <w:tc>
          <w:tcPr>
            <w:tcW w:w="2354" w:type="pct"/>
            <w:shd w:val="clear" w:color="auto" w:fill="auto"/>
            <w:vAlign w:val="center"/>
          </w:tcPr>
          <w:p w14:paraId="30DEA0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绿化工程</w:t>
            </w:r>
          </w:p>
        </w:tc>
        <w:tc>
          <w:tcPr>
            <w:tcW w:w="1381" w:type="pct"/>
            <w:shd w:val="clear" w:color="auto" w:fill="auto"/>
            <w:vAlign w:val="center"/>
          </w:tcPr>
          <w:p w14:paraId="60CCA0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w:t>
            </w:r>
          </w:p>
          <w:p w14:paraId="4C6DB7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（pdf及cad）</w:t>
            </w:r>
          </w:p>
        </w:tc>
        <w:tc>
          <w:tcPr>
            <w:tcW w:w="840" w:type="pct"/>
            <w:shd w:val="clear" w:color="auto" w:fill="auto"/>
            <w:vAlign w:val="center"/>
          </w:tcPr>
          <w:p w14:paraId="4C8FA3F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60A81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shd w:val="clear" w:color="auto" w:fill="auto"/>
            <w:vAlign w:val="center"/>
          </w:tcPr>
          <w:p w14:paraId="35A3F6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（七）专业计算书</w:t>
            </w:r>
          </w:p>
        </w:tc>
      </w:tr>
      <w:tr w14:paraId="6B01C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423" w:type="pct"/>
            <w:shd w:val="clear" w:color="auto" w:fill="auto"/>
            <w:vAlign w:val="center"/>
          </w:tcPr>
          <w:p w14:paraId="1570CF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2354" w:type="pct"/>
            <w:shd w:val="clear" w:color="auto" w:fill="auto"/>
            <w:vAlign w:val="center"/>
          </w:tcPr>
          <w:p w14:paraId="7FE1D2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道路工程计算书（路面结构、地基处理、边坡稳定等）</w:t>
            </w:r>
          </w:p>
        </w:tc>
        <w:tc>
          <w:tcPr>
            <w:tcW w:w="1381" w:type="pct"/>
            <w:shd w:val="clear" w:color="auto" w:fill="auto"/>
            <w:vAlign w:val="center"/>
          </w:tcPr>
          <w:p w14:paraId="4E2720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电子文件（pdf）</w:t>
            </w:r>
          </w:p>
        </w:tc>
        <w:tc>
          <w:tcPr>
            <w:tcW w:w="840" w:type="pct"/>
            <w:shd w:val="clear" w:color="auto" w:fill="auto"/>
            <w:vAlign w:val="center"/>
          </w:tcPr>
          <w:p w14:paraId="49154F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11E8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577C26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2</w:t>
            </w:r>
          </w:p>
        </w:tc>
        <w:tc>
          <w:tcPr>
            <w:tcW w:w="2354" w:type="pct"/>
            <w:shd w:val="clear" w:color="auto" w:fill="auto"/>
            <w:vAlign w:val="center"/>
          </w:tcPr>
          <w:p w14:paraId="5A5717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桥梁结构计算书</w:t>
            </w:r>
          </w:p>
        </w:tc>
        <w:tc>
          <w:tcPr>
            <w:tcW w:w="1381" w:type="pct"/>
            <w:shd w:val="clear" w:color="auto" w:fill="auto"/>
            <w:vAlign w:val="center"/>
          </w:tcPr>
          <w:p w14:paraId="32054A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电子文件（pdf）</w:t>
            </w:r>
          </w:p>
        </w:tc>
        <w:tc>
          <w:tcPr>
            <w:tcW w:w="840" w:type="pct"/>
            <w:shd w:val="clear" w:color="auto" w:fill="auto"/>
            <w:vAlign w:val="center"/>
          </w:tcPr>
          <w:p w14:paraId="72515D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1DF05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06C30E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3</w:t>
            </w:r>
          </w:p>
        </w:tc>
        <w:tc>
          <w:tcPr>
            <w:tcW w:w="2354" w:type="pct"/>
            <w:shd w:val="clear" w:color="auto" w:fill="auto"/>
            <w:vAlign w:val="center"/>
          </w:tcPr>
          <w:p w14:paraId="1A92C7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隧道结构计算书</w:t>
            </w:r>
          </w:p>
        </w:tc>
        <w:tc>
          <w:tcPr>
            <w:tcW w:w="1381" w:type="pct"/>
            <w:shd w:val="clear" w:color="auto" w:fill="auto"/>
            <w:vAlign w:val="center"/>
          </w:tcPr>
          <w:p w14:paraId="57127E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电子文件（pdf）</w:t>
            </w:r>
          </w:p>
        </w:tc>
        <w:tc>
          <w:tcPr>
            <w:tcW w:w="840" w:type="pct"/>
            <w:shd w:val="clear" w:color="auto" w:fill="auto"/>
            <w:vAlign w:val="center"/>
          </w:tcPr>
          <w:p w14:paraId="03F8A7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4910F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08C6F1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4</w:t>
            </w:r>
          </w:p>
        </w:tc>
        <w:tc>
          <w:tcPr>
            <w:tcW w:w="2354" w:type="pct"/>
            <w:shd w:val="clear" w:color="auto" w:fill="auto"/>
            <w:vAlign w:val="center"/>
          </w:tcPr>
          <w:p w14:paraId="39CE7F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基坑结构计算书</w:t>
            </w:r>
          </w:p>
        </w:tc>
        <w:tc>
          <w:tcPr>
            <w:tcW w:w="1381" w:type="pct"/>
            <w:shd w:val="clear" w:color="auto" w:fill="auto"/>
            <w:vAlign w:val="center"/>
          </w:tcPr>
          <w:p w14:paraId="07119C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电子文件（pdf）</w:t>
            </w:r>
          </w:p>
        </w:tc>
        <w:tc>
          <w:tcPr>
            <w:tcW w:w="840" w:type="pct"/>
            <w:shd w:val="clear" w:color="auto" w:fill="auto"/>
            <w:vAlign w:val="center"/>
          </w:tcPr>
          <w:p w14:paraId="1CA0E3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6CB3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6BB700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5</w:t>
            </w:r>
          </w:p>
        </w:tc>
        <w:tc>
          <w:tcPr>
            <w:tcW w:w="2354" w:type="pct"/>
            <w:shd w:val="clear" w:color="auto" w:fill="auto"/>
            <w:vAlign w:val="center"/>
          </w:tcPr>
          <w:p w14:paraId="531E9D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特殊部位计算书（涉及轨道、高速公路等）</w:t>
            </w:r>
          </w:p>
        </w:tc>
        <w:tc>
          <w:tcPr>
            <w:tcW w:w="1381" w:type="pct"/>
            <w:shd w:val="clear" w:color="auto" w:fill="auto"/>
            <w:vAlign w:val="center"/>
          </w:tcPr>
          <w:p w14:paraId="70E071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电子文件（pdf）</w:t>
            </w:r>
          </w:p>
        </w:tc>
        <w:tc>
          <w:tcPr>
            <w:tcW w:w="840" w:type="pct"/>
            <w:shd w:val="clear" w:color="auto" w:fill="auto"/>
            <w:vAlign w:val="center"/>
          </w:tcPr>
          <w:p w14:paraId="2D0183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r w14:paraId="648F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shd w:val="clear" w:color="auto" w:fill="auto"/>
            <w:vAlign w:val="center"/>
          </w:tcPr>
          <w:p w14:paraId="001E05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（八）其</w:t>
            </w:r>
            <w:r>
              <w:rPr>
                <w:rFonts w:hint="eastAsia" w:ascii="仿宋_GB2312" w:hAnsi="仿宋_GB2312" w:eastAsia="仿宋_GB2312" w:cs="仿宋_GB2312"/>
                <w:sz w:val="24"/>
                <w:szCs w:val="24"/>
                <w:highlight w:val="none"/>
              </w:rPr>
              <w:t>他</w:t>
            </w:r>
            <w:r>
              <w:rPr>
                <w:rFonts w:hint="eastAsia" w:ascii="仿宋_GB2312" w:hAnsi="仿宋_GB2312" w:eastAsia="仿宋_GB2312" w:cs="仿宋_GB2312"/>
                <w:bCs/>
                <w:sz w:val="24"/>
                <w:szCs w:val="24"/>
                <w:highlight w:val="none"/>
              </w:rPr>
              <w:t>（该项开联评联审会前准备齐全）</w:t>
            </w:r>
          </w:p>
        </w:tc>
      </w:tr>
      <w:tr w14:paraId="3DAB6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3" w:type="pct"/>
            <w:shd w:val="clear" w:color="auto" w:fill="auto"/>
            <w:vAlign w:val="center"/>
          </w:tcPr>
          <w:p w14:paraId="5A84FF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1</w:t>
            </w:r>
          </w:p>
        </w:tc>
        <w:tc>
          <w:tcPr>
            <w:tcW w:w="2354" w:type="pct"/>
            <w:shd w:val="clear" w:color="auto" w:fill="auto"/>
            <w:vAlign w:val="center"/>
          </w:tcPr>
          <w:p w14:paraId="38C301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初步设计联评联审意见执行情况及汇报简本</w:t>
            </w:r>
          </w:p>
        </w:tc>
        <w:tc>
          <w:tcPr>
            <w:tcW w:w="1381" w:type="pct"/>
            <w:shd w:val="clear" w:color="auto" w:fill="auto"/>
            <w:vAlign w:val="center"/>
          </w:tcPr>
          <w:p w14:paraId="244AD9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themeColor="text1"/>
                <w:sz w:val="24"/>
                <w:szCs w:val="24"/>
                <w:highlight w:val="none"/>
                <w14:textFill>
                  <w14:solidFill>
                    <w14:schemeClr w14:val="tx1"/>
                  </w14:solidFill>
                </w14:textFill>
              </w:rPr>
            </w:pPr>
            <w:r>
              <w:rPr>
                <w:rFonts w:hint="eastAsia" w:ascii="仿宋_GB2312" w:hAnsi="仿宋_GB2312" w:eastAsia="仿宋_GB2312" w:cs="仿宋_GB2312"/>
                <w:color w:val="000000" w:themeColor="text1"/>
                <w:sz w:val="24"/>
                <w:szCs w:val="24"/>
                <w:highlight w:val="none"/>
                <w14:textFill>
                  <w14:solidFill>
                    <w14:schemeClr w14:val="tx1"/>
                  </w14:solidFill>
                </w14:textFill>
              </w:rPr>
              <w:t>电子文件（pdf）</w:t>
            </w:r>
          </w:p>
        </w:tc>
        <w:tc>
          <w:tcPr>
            <w:tcW w:w="840" w:type="pct"/>
            <w:shd w:val="clear" w:color="auto" w:fill="auto"/>
            <w:vAlign w:val="center"/>
          </w:tcPr>
          <w:p w14:paraId="603EFA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bCs/>
                <w:color w:val="0070C0"/>
                <w:sz w:val="24"/>
                <w:szCs w:val="24"/>
                <w:highlight w:val="none"/>
              </w:rPr>
            </w:pPr>
          </w:p>
        </w:tc>
      </w:tr>
    </w:tbl>
    <w:p w14:paraId="5600BE07">
      <w:pPr>
        <w:spacing w:line="500" w:lineRule="exact"/>
        <w:ind w:firstLine="560" w:firstLineChars="200"/>
        <w:rPr>
          <w:rFonts w:hint="eastAsia" w:ascii="仿宋_GB2312" w:hAnsi="仿宋_GB2312" w:eastAsia="仿宋_GB2312" w:cs="仿宋_GB2312"/>
          <w:sz w:val="28"/>
          <w:szCs w:val="28"/>
          <w:highlight w:val="none"/>
        </w:rPr>
      </w:pPr>
    </w:p>
    <w:p w14:paraId="09FB698D">
      <w:pPr>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第六条  双方责任</w:t>
      </w:r>
    </w:p>
    <w:p w14:paraId="1CCD56C5">
      <w:pPr>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6.1甲方责任</w:t>
      </w:r>
    </w:p>
    <w:p w14:paraId="34215E94">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6.1.1甲方按本合同第五条规定的内容，及时向乙方提供资料，并对其完整性、真实性负责。</w:t>
      </w:r>
    </w:p>
    <w:p w14:paraId="5D7C456D">
      <w:pPr>
        <w:spacing w:line="360" w:lineRule="auto"/>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6.1.2甲方变更资料，或所提供资料有较大修改，以致造成乙方咨询服务需返工时，双方需另行协商签订补充合同，重新明确条款。</w:t>
      </w:r>
    </w:p>
    <w:p w14:paraId="5EDFBE34">
      <w:pPr>
        <w:spacing w:line="360" w:lineRule="auto"/>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6.1.3在合同履行期间，非可归责于乙方的事由而甲方要求终止或解除合同，乙方未开始服务的，乙方应退还已付费用；乙方已开始服务的，甲方应根据乙方的实际工作量付费。</w:t>
      </w:r>
    </w:p>
    <w:p w14:paraId="4F4AE810">
      <w:pPr>
        <w:spacing w:line="360" w:lineRule="auto"/>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6.1.4甲方应按本合同第三条的约定向乙方支付费用。</w:t>
      </w:r>
    </w:p>
    <w:p w14:paraId="7AF696E0">
      <w:pPr>
        <w:spacing w:line="360" w:lineRule="auto"/>
        <w:ind w:firstLine="57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6.1.5 甲方有权对乙方提交的咨询服务成果进行验收，对不符合合同约定标准、法律规定及规范要求的成果，有权要求乙方限期修改。</w:t>
      </w:r>
      <w:r>
        <w:rPr>
          <w:rFonts w:hint="eastAsia" w:ascii="仿宋_GB2312" w:hAnsi="仿宋_GB2312" w:eastAsia="仿宋_GB2312" w:cs="仿宋_GB2312"/>
          <w:sz w:val="28"/>
          <w:szCs w:val="28"/>
          <w:highlight w:val="none"/>
        </w:rPr>
        <w:t>乙方应在收到甲方书面通知后，在甲方要求的期限内修改完毕，直至成果通过甲方最终书面确认为止。</w:t>
      </w:r>
    </w:p>
    <w:p w14:paraId="5AF4642A">
      <w:pPr>
        <w:spacing w:line="360" w:lineRule="auto"/>
        <w:ind w:firstLine="570"/>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6.1.6 甲方有权要求乙方更换不具备相应资质、能力或违反甲方现场规定的工作人员，乙方应在收到通知后3个工作日内完成更换并书面告知甲方，乙方应确保服务不受影响。</w:t>
      </w:r>
    </w:p>
    <w:p w14:paraId="504E8810">
      <w:pPr>
        <w:spacing w:line="360" w:lineRule="auto"/>
        <w:ind w:left="565"/>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6.2乙方责任</w:t>
      </w:r>
    </w:p>
    <w:p w14:paraId="3708EEF8">
      <w:pPr>
        <w:spacing w:line="500" w:lineRule="exact"/>
        <w:ind w:firstLine="57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6.2.1乙方按照双方确认的内容提供咨询服务，在提供咨询服务过程中，根据甲方要求及时审查方案，确保按期并高质量地提供咨询服务成果。乙方提供的咨询服务成果需符合《西安市市政基础设施项目初步设计审查标准及要点》及国家、地方相关规范，审查意见</w:t>
      </w:r>
      <w:r>
        <w:rPr>
          <w:rFonts w:hint="eastAsia" w:ascii="仿宋_GB2312" w:hAnsi="仿宋_GB2312" w:eastAsia="仿宋_GB2312" w:cs="仿宋_GB2312"/>
          <w:sz w:val="28"/>
          <w:szCs w:val="28"/>
          <w:highlight w:val="none"/>
          <w:lang w:eastAsia="zh-CN"/>
        </w:rPr>
        <w:t>须具备</w:t>
      </w:r>
      <w:r>
        <w:rPr>
          <w:rFonts w:hint="eastAsia" w:ascii="仿宋_GB2312" w:hAnsi="仿宋_GB2312" w:eastAsia="仿宋_GB2312" w:cs="仿宋_GB2312"/>
          <w:sz w:val="28"/>
          <w:szCs w:val="28"/>
          <w:highlight w:val="none"/>
        </w:rPr>
        <w:t>针对性、可操作性</w:t>
      </w:r>
      <w:r>
        <w:rPr>
          <w:rFonts w:hint="eastAsia" w:ascii="仿宋_GB2312" w:hAnsi="仿宋_GB2312" w:eastAsia="仿宋_GB2312" w:cs="仿宋_GB2312"/>
          <w:sz w:val="28"/>
          <w:szCs w:val="28"/>
          <w:highlight w:val="none"/>
          <w:lang w:eastAsia="zh-CN"/>
        </w:rPr>
        <w:t>。</w:t>
      </w:r>
    </w:p>
    <w:p w14:paraId="3B526992">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6.2.2乙方保证履行本合同要求过程的全部咨询和技术服务成果合法，并不得损害任何第三人合法权益，包括但不限于第三人著作权、专利权、商标权等知识产权和其他合法权利。</w:t>
      </w:r>
    </w:p>
    <w:p w14:paraId="0C5DFC52">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6.2.3因乙方及其工作人员在履行合同过程中的侵权行为导致的法律责任由乙方负责，甲方不承担任何责任。</w:t>
      </w:r>
    </w:p>
    <w:p w14:paraId="7F2F5DDB">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6.2.4乙方应对提交的合同成果的科学性、合理性、准确性等负责，若因乙方提交的成果存在瑕疵引发问题，由乙方负责修改补充完善。在合同履行期间，</w:t>
      </w:r>
      <w:r>
        <w:rPr>
          <w:rFonts w:hint="eastAsia" w:ascii="仿宋_GB2312" w:hAnsi="仿宋_GB2312" w:eastAsia="仿宋_GB2312" w:cs="仿宋_GB2312"/>
          <w:sz w:val="28"/>
          <w:szCs w:val="28"/>
          <w:highlight w:val="none"/>
          <w:lang w:val="en-US" w:eastAsia="zh-CN"/>
        </w:rPr>
        <w:t>乙方不得</w:t>
      </w:r>
      <w:r>
        <w:rPr>
          <w:rFonts w:hint="eastAsia" w:ascii="仿宋_GB2312" w:hAnsi="仿宋_GB2312" w:eastAsia="仿宋_GB2312" w:cs="仿宋_GB2312"/>
          <w:sz w:val="28"/>
          <w:szCs w:val="28"/>
          <w:highlight w:val="none"/>
        </w:rPr>
        <w:t>擅自变更、中止或终止</w:t>
      </w:r>
      <w:r>
        <w:rPr>
          <w:rFonts w:hint="eastAsia" w:ascii="仿宋_GB2312" w:hAnsi="仿宋_GB2312" w:eastAsia="仿宋_GB2312" w:cs="仿宋_GB2312"/>
          <w:sz w:val="28"/>
          <w:szCs w:val="28"/>
          <w:highlight w:val="none"/>
          <w:lang w:val="en-US" w:eastAsia="zh-CN"/>
        </w:rPr>
        <w:t>本合同。</w:t>
      </w:r>
    </w:p>
    <w:p w14:paraId="141AA795">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6.2.5依合同收取咨询服务费用。</w:t>
      </w:r>
    </w:p>
    <w:p w14:paraId="395A4840">
      <w:pPr>
        <w:spacing w:line="500" w:lineRule="exact"/>
        <w:ind w:firstLine="57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6.2.6在服务期限内乙方应根据项目实际进展的需要，在收到甲方通知后，须指派符合条件与经验的专职工作人员至指定地点提供驻场支持服务。乙方工作人员在甲方场地期间，应遵守甲方公布的各项安全、保密及现场管理规定，并接受甲方的监督。</w:t>
      </w:r>
    </w:p>
    <w:p w14:paraId="7ECF8FF7">
      <w:pPr>
        <w:spacing w:line="500" w:lineRule="exact"/>
        <w:ind w:firstLine="570"/>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6.2.7 乙方未经甲方书面同意不得将本合同项下的咨询服务工作的全部或部分转包、分包、委托给第三方。</w:t>
      </w:r>
    </w:p>
    <w:p w14:paraId="636B047B">
      <w:pPr>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第七条 保   密</w:t>
      </w:r>
    </w:p>
    <w:p w14:paraId="7D59AE29">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7.1双方应遵守国家的有关保密规定，妥善保管对方提供的资料，保守对方的各项秘密，并保护对方的知识产权。</w:t>
      </w:r>
    </w:p>
    <w:p w14:paraId="4AD50245">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7.2乙方在项目实施过程中，对甲方所提供的所有相关资料、数据</w:t>
      </w:r>
      <w:r>
        <w:rPr>
          <w:rFonts w:hint="eastAsia" w:ascii="仿宋_GB2312" w:hAnsi="仿宋_GB2312" w:eastAsia="仿宋_GB2312" w:cs="仿宋_GB2312"/>
          <w:sz w:val="28"/>
          <w:szCs w:val="28"/>
          <w:highlight w:val="none"/>
          <w:lang w:val="en-US" w:eastAsia="zh-CN"/>
        </w:rPr>
        <w:t>等</w:t>
      </w:r>
      <w:r>
        <w:rPr>
          <w:rFonts w:hint="eastAsia" w:ascii="仿宋_GB2312" w:hAnsi="仿宋_GB2312" w:eastAsia="仿宋_GB2312" w:cs="仿宋_GB2312"/>
          <w:sz w:val="28"/>
          <w:szCs w:val="28"/>
          <w:highlight w:val="none"/>
        </w:rPr>
        <w:t>，未经甲方书面同意不得向任何第三人泄露，且保密责任不因合同的终止或解除而失效。如甲方提出要求，乙方须无条件与甲方签订保密协议。</w:t>
      </w:r>
    </w:p>
    <w:p w14:paraId="3BD002FE">
      <w:pPr>
        <w:numPr>
          <w:ilvl w:val="0"/>
          <w:numId w:val="1"/>
        </w:numPr>
        <w:spacing w:line="500"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违约责任</w:t>
      </w:r>
    </w:p>
    <w:p w14:paraId="58A6E291">
      <w:pPr>
        <w:spacing w:line="500" w:lineRule="exact"/>
        <w:ind w:firstLine="57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8.1 </w:t>
      </w:r>
      <w:r>
        <w:rPr>
          <w:rFonts w:hint="eastAsia" w:ascii="仿宋_GB2312" w:hAnsi="仿宋_GB2312" w:eastAsia="仿宋_GB2312" w:cs="仿宋_GB2312"/>
          <w:sz w:val="28"/>
          <w:szCs w:val="28"/>
          <w:highlight w:val="none"/>
        </w:rPr>
        <w:t>乙方未按本合同约定的时间完成咨询服务工作，每逾期一天，乙方</w:t>
      </w:r>
      <w:r>
        <w:rPr>
          <w:rFonts w:hint="eastAsia" w:ascii="仿宋_GB2312" w:hAnsi="仿宋_GB2312" w:eastAsia="仿宋_GB2312" w:cs="仿宋_GB2312"/>
          <w:sz w:val="28"/>
          <w:szCs w:val="28"/>
          <w:highlight w:val="none"/>
          <w:lang w:val="en-US" w:eastAsia="zh-CN"/>
        </w:rPr>
        <w:t>应按照</w:t>
      </w:r>
      <w:r>
        <w:rPr>
          <w:rFonts w:hint="eastAsia" w:ascii="仿宋_GB2312" w:hAnsi="仿宋_GB2312" w:eastAsia="仿宋_GB2312" w:cs="仿宋_GB2312"/>
          <w:sz w:val="28"/>
          <w:szCs w:val="28"/>
          <w:highlight w:val="none"/>
        </w:rPr>
        <w:t>单个项目对应咨询服务费千分之一的</w:t>
      </w:r>
      <w:r>
        <w:rPr>
          <w:rFonts w:hint="eastAsia" w:ascii="仿宋_GB2312" w:hAnsi="仿宋_GB2312" w:eastAsia="仿宋_GB2312" w:cs="仿宋_GB2312"/>
          <w:sz w:val="28"/>
          <w:szCs w:val="28"/>
          <w:highlight w:val="none"/>
          <w:lang w:val="en-US" w:eastAsia="zh-CN"/>
        </w:rPr>
        <w:t>标准向甲方支付</w:t>
      </w:r>
      <w:r>
        <w:rPr>
          <w:rFonts w:hint="eastAsia" w:ascii="仿宋_GB2312" w:hAnsi="仿宋_GB2312" w:eastAsia="仿宋_GB2312" w:cs="仿宋_GB2312"/>
          <w:sz w:val="28"/>
          <w:szCs w:val="28"/>
          <w:highlight w:val="none"/>
        </w:rPr>
        <w:t>违约金，逾期超过30天，甲方有权单方解除合同，乙方</w:t>
      </w:r>
      <w:r>
        <w:rPr>
          <w:rFonts w:hint="eastAsia" w:ascii="仿宋_GB2312" w:hAnsi="仿宋_GB2312" w:eastAsia="仿宋_GB2312" w:cs="仿宋_GB2312"/>
          <w:sz w:val="28"/>
          <w:szCs w:val="28"/>
          <w:highlight w:val="none"/>
          <w:lang w:val="en-US" w:eastAsia="zh-CN"/>
        </w:rPr>
        <w:t>应按照前期</w:t>
      </w:r>
      <w:r>
        <w:rPr>
          <w:rFonts w:hint="eastAsia" w:ascii="仿宋_GB2312" w:hAnsi="仿宋_GB2312" w:eastAsia="仿宋_GB2312" w:cs="仿宋_GB2312"/>
          <w:sz w:val="28"/>
          <w:szCs w:val="28"/>
          <w:highlight w:val="none"/>
        </w:rPr>
        <w:t>已</w:t>
      </w:r>
      <w:r>
        <w:rPr>
          <w:rFonts w:hint="eastAsia" w:ascii="仿宋_GB2312" w:hAnsi="仿宋_GB2312" w:eastAsia="仿宋_GB2312" w:cs="仿宋_GB2312"/>
          <w:sz w:val="28"/>
          <w:szCs w:val="28"/>
          <w:highlight w:val="none"/>
          <w:lang w:val="en-US" w:eastAsia="zh-CN"/>
        </w:rPr>
        <w:t>收取</w:t>
      </w:r>
      <w:r>
        <w:rPr>
          <w:rFonts w:hint="eastAsia" w:ascii="仿宋_GB2312" w:hAnsi="仿宋_GB2312" w:eastAsia="仿宋_GB2312" w:cs="仿宋_GB2312"/>
          <w:sz w:val="28"/>
          <w:szCs w:val="28"/>
          <w:highlight w:val="none"/>
        </w:rPr>
        <w:t>咨询服务费</w:t>
      </w:r>
      <w:r>
        <w:rPr>
          <w:rFonts w:hint="eastAsia" w:ascii="仿宋_GB2312" w:hAnsi="仿宋_GB2312" w:eastAsia="仿宋_GB2312" w:cs="仿宋_GB2312"/>
          <w:sz w:val="28"/>
          <w:szCs w:val="28"/>
          <w:highlight w:val="none"/>
          <w:lang w:val="en-US" w:eastAsia="zh-CN"/>
        </w:rPr>
        <w:t>总价款</w:t>
      </w:r>
      <w:r>
        <w:rPr>
          <w:rFonts w:hint="eastAsia" w:ascii="仿宋_GB2312" w:hAnsi="仿宋_GB2312" w:eastAsia="仿宋_GB2312" w:cs="仿宋_GB2312"/>
          <w:sz w:val="28"/>
          <w:szCs w:val="28"/>
          <w:highlight w:val="none"/>
        </w:rPr>
        <w:t>20％</w:t>
      </w:r>
      <w:r>
        <w:rPr>
          <w:rFonts w:hint="eastAsia" w:ascii="仿宋_GB2312" w:hAnsi="仿宋_GB2312" w:eastAsia="仿宋_GB2312" w:cs="仿宋_GB2312"/>
          <w:sz w:val="28"/>
          <w:szCs w:val="28"/>
          <w:highlight w:val="none"/>
          <w:lang w:val="en-US" w:eastAsia="zh-CN"/>
        </w:rPr>
        <w:t>的标准向甲方支付违约金</w:t>
      </w:r>
      <w:r>
        <w:rPr>
          <w:rFonts w:hint="eastAsia" w:ascii="仿宋_GB2312" w:hAnsi="仿宋_GB2312" w:eastAsia="仿宋_GB2312" w:cs="仿宋_GB2312"/>
          <w:sz w:val="28"/>
          <w:szCs w:val="28"/>
          <w:highlight w:val="none"/>
        </w:rPr>
        <w:t>，并赔偿甲方因此造成的损失，包括但不限于律师费、保函费、保全费、诉讼费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鉴定费</w:t>
      </w:r>
      <w:r>
        <w:rPr>
          <w:rFonts w:hint="eastAsia" w:ascii="仿宋_GB2312" w:hAnsi="仿宋_GB2312" w:eastAsia="仿宋_GB2312" w:cs="仿宋_GB2312"/>
          <w:sz w:val="28"/>
          <w:szCs w:val="28"/>
          <w:highlight w:val="none"/>
        </w:rPr>
        <w:t>等维权费用。</w:t>
      </w:r>
    </w:p>
    <w:p w14:paraId="65E1395F">
      <w:pPr>
        <w:spacing w:line="500" w:lineRule="exact"/>
        <w:ind w:firstLine="570" w:firstLineChars="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8.2 乙方</w:t>
      </w:r>
      <w:r>
        <w:rPr>
          <w:rFonts w:hint="eastAsia" w:ascii="仿宋_GB2312" w:hAnsi="仿宋_GB2312" w:eastAsia="仿宋_GB2312" w:cs="仿宋_GB2312"/>
          <w:sz w:val="28"/>
          <w:szCs w:val="28"/>
          <w:highlight w:val="none"/>
        </w:rPr>
        <w:t>提交的咨询服务成果存在重大缺陷、错误或遗漏，经甲方</w:t>
      </w:r>
      <w:r>
        <w:rPr>
          <w:rFonts w:hint="eastAsia" w:ascii="仿宋_GB2312" w:hAnsi="仿宋_GB2312" w:eastAsia="仿宋_GB2312" w:cs="仿宋_GB2312"/>
          <w:sz w:val="28"/>
          <w:szCs w:val="28"/>
          <w:highlight w:val="none"/>
          <w:lang w:val="en-US" w:eastAsia="zh-CN"/>
        </w:rPr>
        <w:t>三</w:t>
      </w:r>
      <w:r>
        <w:rPr>
          <w:rFonts w:hint="eastAsia" w:ascii="仿宋_GB2312" w:hAnsi="仿宋_GB2312" w:eastAsia="仿宋_GB2312" w:cs="仿宋_GB2312"/>
          <w:sz w:val="28"/>
          <w:szCs w:val="28"/>
          <w:highlight w:val="none"/>
        </w:rPr>
        <w:t>次指出后修改仍不符合要求，或对公共利益造成重大风险的</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甲方有权单方解除合同，乙方</w:t>
      </w:r>
      <w:r>
        <w:rPr>
          <w:rFonts w:hint="eastAsia" w:ascii="仿宋_GB2312" w:hAnsi="仿宋_GB2312" w:eastAsia="仿宋_GB2312" w:cs="仿宋_GB2312"/>
          <w:sz w:val="28"/>
          <w:szCs w:val="28"/>
          <w:highlight w:val="none"/>
          <w:lang w:val="en-US" w:eastAsia="zh-CN"/>
        </w:rPr>
        <w:t>应按照前期</w:t>
      </w:r>
      <w:r>
        <w:rPr>
          <w:rFonts w:hint="eastAsia" w:ascii="仿宋_GB2312" w:hAnsi="仿宋_GB2312" w:eastAsia="仿宋_GB2312" w:cs="仿宋_GB2312"/>
          <w:sz w:val="28"/>
          <w:szCs w:val="28"/>
          <w:highlight w:val="none"/>
        </w:rPr>
        <w:t>已</w:t>
      </w:r>
      <w:r>
        <w:rPr>
          <w:rFonts w:hint="eastAsia" w:ascii="仿宋_GB2312" w:hAnsi="仿宋_GB2312" w:eastAsia="仿宋_GB2312" w:cs="仿宋_GB2312"/>
          <w:sz w:val="28"/>
          <w:szCs w:val="28"/>
          <w:highlight w:val="none"/>
          <w:lang w:val="en-US" w:eastAsia="zh-CN"/>
        </w:rPr>
        <w:t>收取</w:t>
      </w:r>
      <w:r>
        <w:rPr>
          <w:rFonts w:hint="eastAsia" w:ascii="仿宋_GB2312" w:hAnsi="仿宋_GB2312" w:eastAsia="仿宋_GB2312" w:cs="仿宋_GB2312"/>
          <w:sz w:val="28"/>
          <w:szCs w:val="28"/>
          <w:highlight w:val="none"/>
        </w:rPr>
        <w:t>咨询服务费</w:t>
      </w:r>
      <w:r>
        <w:rPr>
          <w:rFonts w:hint="eastAsia" w:ascii="仿宋_GB2312" w:hAnsi="仿宋_GB2312" w:eastAsia="仿宋_GB2312" w:cs="仿宋_GB2312"/>
          <w:sz w:val="28"/>
          <w:szCs w:val="28"/>
          <w:highlight w:val="none"/>
          <w:lang w:val="en-US" w:eastAsia="zh-CN"/>
        </w:rPr>
        <w:t>总价款</w:t>
      </w:r>
      <w:r>
        <w:rPr>
          <w:rFonts w:hint="eastAsia" w:ascii="仿宋_GB2312" w:hAnsi="仿宋_GB2312" w:eastAsia="仿宋_GB2312" w:cs="仿宋_GB2312"/>
          <w:sz w:val="28"/>
          <w:szCs w:val="28"/>
          <w:highlight w:val="none"/>
        </w:rPr>
        <w:t>20％</w:t>
      </w:r>
      <w:r>
        <w:rPr>
          <w:rFonts w:hint="eastAsia" w:ascii="仿宋_GB2312" w:hAnsi="仿宋_GB2312" w:eastAsia="仿宋_GB2312" w:cs="仿宋_GB2312"/>
          <w:sz w:val="28"/>
          <w:szCs w:val="28"/>
          <w:highlight w:val="none"/>
          <w:lang w:val="en-US" w:eastAsia="zh-CN"/>
        </w:rPr>
        <w:t>的标准向甲方支付违约金</w:t>
      </w:r>
      <w:r>
        <w:rPr>
          <w:rFonts w:hint="eastAsia" w:ascii="仿宋_GB2312" w:hAnsi="仿宋_GB2312" w:eastAsia="仿宋_GB2312" w:cs="仿宋_GB2312"/>
          <w:sz w:val="28"/>
          <w:szCs w:val="28"/>
          <w:highlight w:val="none"/>
        </w:rPr>
        <w:t>，并赔偿甲方因此造成的损失，包括但不限于律师费、保函费、保全费、诉讼费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鉴定费</w:t>
      </w:r>
      <w:r>
        <w:rPr>
          <w:rFonts w:hint="eastAsia" w:ascii="仿宋_GB2312" w:hAnsi="仿宋_GB2312" w:eastAsia="仿宋_GB2312" w:cs="仿宋_GB2312"/>
          <w:sz w:val="28"/>
          <w:szCs w:val="28"/>
          <w:highlight w:val="none"/>
        </w:rPr>
        <w:t>等维权费用。</w:t>
      </w:r>
    </w:p>
    <w:p w14:paraId="6F83BD11">
      <w:pPr>
        <w:spacing w:line="500" w:lineRule="exact"/>
        <w:ind w:firstLine="570" w:firstLineChars="0"/>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8.3 乙方存在违反其他合同约定的行为的，</w:t>
      </w:r>
      <w:r>
        <w:rPr>
          <w:rFonts w:hint="eastAsia" w:ascii="仿宋_GB2312" w:hAnsi="仿宋_GB2312" w:eastAsia="仿宋_GB2312" w:cs="仿宋_GB2312"/>
          <w:sz w:val="28"/>
          <w:szCs w:val="28"/>
          <w:highlight w:val="none"/>
        </w:rPr>
        <w:t>甲方有权单方解除合同，乙方</w:t>
      </w:r>
      <w:r>
        <w:rPr>
          <w:rFonts w:hint="eastAsia" w:ascii="仿宋_GB2312" w:hAnsi="仿宋_GB2312" w:eastAsia="仿宋_GB2312" w:cs="仿宋_GB2312"/>
          <w:sz w:val="28"/>
          <w:szCs w:val="28"/>
          <w:highlight w:val="none"/>
          <w:lang w:val="en-US" w:eastAsia="zh-CN"/>
        </w:rPr>
        <w:t>应按照前期</w:t>
      </w:r>
      <w:r>
        <w:rPr>
          <w:rFonts w:hint="eastAsia" w:ascii="仿宋_GB2312" w:hAnsi="仿宋_GB2312" w:eastAsia="仿宋_GB2312" w:cs="仿宋_GB2312"/>
          <w:sz w:val="28"/>
          <w:szCs w:val="28"/>
          <w:highlight w:val="none"/>
        </w:rPr>
        <w:t>已</w:t>
      </w:r>
      <w:r>
        <w:rPr>
          <w:rFonts w:hint="eastAsia" w:ascii="仿宋_GB2312" w:hAnsi="仿宋_GB2312" w:eastAsia="仿宋_GB2312" w:cs="仿宋_GB2312"/>
          <w:sz w:val="28"/>
          <w:szCs w:val="28"/>
          <w:highlight w:val="none"/>
          <w:lang w:val="en-US" w:eastAsia="zh-CN"/>
        </w:rPr>
        <w:t>收取</w:t>
      </w:r>
      <w:r>
        <w:rPr>
          <w:rFonts w:hint="eastAsia" w:ascii="仿宋_GB2312" w:hAnsi="仿宋_GB2312" w:eastAsia="仿宋_GB2312" w:cs="仿宋_GB2312"/>
          <w:sz w:val="28"/>
          <w:szCs w:val="28"/>
          <w:highlight w:val="none"/>
        </w:rPr>
        <w:t>咨询服务费</w:t>
      </w:r>
      <w:r>
        <w:rPr>
          <w:rFonts w:hint="eastAsia" w:ascii="仿宋_GB2312" w:hAnsi="仿宋_GB2312" w:eastAsia="仿宋_GB2312" w:cs="仿宋_GB2312"/>
          <w:sz w:val="28"/>
          <w:szCs w:val="28"/>
          <w:highlight w:val="none"/>
          <w:lang w:val="en-US" w:eastAsia="zh-CN"/>
        </w:rPr>
        <w:t>总价款</w:t>
      </w:r>
      <w:r>
        <w:rPr>
          <w:rFonts w:hint="eastAsia" w:ascii="仿宋_GB2312" w:hAnsi="仿宋_GB2312" w:eastAsia="仿宋_GB2312" w:cs="仿宋_GB2312"/>
          <w:sz w:val="28"/>
          <w:szCs w:val="28"/>
          <w:highlight w:val="none"/>
        </w:rPr>
        <w:t>20％</w:t>
      </w:r>
      <w:r>
        <w:rPr>
          <w:rFonts w:hint="eastAsia" w:ascii="仿宋_GB2312" w:hAnsi="仿宋_GB2312" w:eastAsia="仿宋_GB2312" w:cs="仿宋_GB2312"/>
          <w:sz w:val="28"/>
          <w:szCs w:val="28"/>
          <w:highlight w:val="none"/>
          <w:lang w:val="en-US" w:eastAsia="zh-CN"/>
        </w:rPr>
        <w:t>的标准向甲方支付违约金</w:t>
      </w:r>
      <w:r>
        <w:rPr>
          <w:rFonts w:hint="eastAsia" w:ascii="仿宋_GB2312" w:hAnsi="仿宋_GB2312" w:eastAsia="仿宋_GB2312" w:cs="仿宋_GB2312"/>
          <w:sz w:val="28"/>
          <w:szCs w:val="28"/>
          <w:highlight w:val="none"/>
        </w:rPr>
        <w:t>，并赔偿甲方因此造成的损失，包括但不限于律师费、保函费、保全费、诉讼费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鉴定费</w:t>
      </w:r>
      <w:r>
        <w:rPr>
          <w:rFonts w:hint="eastAsia" w:ascii="仿宋_GB2312" w:hAnsi="仿宋_GB2312" w:eastAsia="仿宋_GB2312" w:cs="仿宋_GB2312"/>
          <w:sz w:val="28"/>
          <w:szCs w:val="28"/>
          <w:highlight w:val="none"/>
        </w:rPr>
        <w:t>等维权费用。</w:t>
      </w:r>
    </w:p>
    <w:p w14:paraId="119C7236">
      <w:pPr>
        <w:spacing w:line="50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第</w:t>
      </w:r>
      <w:r>
        <w:rPr>
          <w:rFonts w:hint="eastAsia" w:ascii="仿宋_GB2312" w:hAnsi="仿宋_GB2312" w:eastAsia="仿宋_GB2312" w:cs="仿宋_GB2312"/>
          <w:sz w:val="28"/>
          <w:szCs w:val="28"/>
          <w:highlight w:val="none"/>
          <w:lang w:val="en-US" w:eastAsia="zh-CN"/>
        </w:rPr>
        <w:t>九</w:t>
      </w:r>
      <w:r>
        <w:rPr>
          <w:rFonts w:hint="eastAsia" w:ascii="仿宋_GB2312" w:hAnsi="仿宋_GB2312" w:eastAsia="仿宋_GB2312" w:cs="仿宋_GB2312"/>
          <w:sz w:val="28"/>
          <w:szCs w:val="28"/>
          <w:highlight w:val="none"/>
        </w:rPr>
        <w:t>条  其   他</w:t>
      </w:r>
    </w:p>
    <w:p w14:paraId="09DA50EB">
      <w:pPr>
        <w:spacing w:line="500" w:lineRule="exact"/>
        <w:ind w:right="-335" w:firstLine="517" w:firstLineChars="196"/>
        <w:rPr>
          <w:rFonts w:hint="eastAsia" w:ascii="仿宋_GB2312" w:hAnsi="仿宋_GB2312" w:eastAsia="仿宋_GB2312" w:cs="仿宋_GB2312"/>
          <w:spacing w:val="-8"/>
          <w:sz w:val="28"/>
          <w:szCs w:val="28"/>
          <w:highlight w:val="none"/>
        </w:rPr>
      </w:pPr>
      <w:r>
        <w:rPr>
          <w:rFonts w:hint="eastAsia" w:ascii="仿宋_GB2312" w:hAnsi="仿宋_GB2312" w:eastAsia="仿宋_GB2312" w:cs="仿宋_GB2312"/>
          <w:spacing w:val="-8"/>
          <w:sz w:val="28"/>
          <w:szCs w:val="28"/>
          <w:highlight w:val="none"/>
          <w:lang w:val="en-US" w:eastAsia="zh-CN"/>
        </w:rPr>
        <w:t>9</w:t>
      </w:r>
      <w:r>
        <w:rPr>
          <w:rFonts w:hint="eastAsia" w:ascii="仿宋_GB2312" w:hAnsi="仿宋_GB2312" w:eastAsia="仿宋_GB2312" w:cs="仿宋_GB2312"/>
          <w:spacing w:val="-8"/>
          <w:sz w:val="28"/>
          <w:szCs w:val="28"/>
          <w:highlight w:val="none"/>
        </w:rPr>
        <w:t>.1甲方需要乙方承担本合同内容以外的服务，应另行协商。</w:t>
      </w:r>
    </w:p>
    <w:p w14:paraId="59AA52BB">
      <w:pPr>
        <w:spacing w:line="500" w:lineRule="exact"/>
        <w:ind w:right="-335" w:firstLine="548" w:firstLineChars="196"/>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9</w:t>
      </w:r>
      <w:r>
        <w:rPr>
          <w:rFonts w:hint="eastAsia" w:ascii="仿宋_GB2312" w:hAnsi="仿宋_GB2312" w:eastAsia="仿宋_GB2312" w:cs="仿宋_GB2312"/>
          <w:bCs/>
          <w:sz w:val="28"/>
          <w:szCs w:val="28"/>
          <w:highlight w:val="none"/>
        </w:rPr>
        <w:t>.2</w:t>
      </w:r>
      <w:r>
        <w:rPr>
          <w:rFonts w:hint="eastAsia" w:ascii="仿宋_GB2312" w:hAnsi="仿宋_GB2312" w:eastAsia="仿宋_GB2312" w:cs="仿宋_GB2312"/>
          <w:sz w:val="28"/>
          <w:szCs w:val="28"/>
          <w:highlight w:val="none"/>
        </w:rPr>
        <w:t>由于不可抗力因素，致使合同无法履行时，双方应及时协商解决。</w:t>
      </w:r>
    </w:p>
    <w:p w14:paraId="062599E9">
      <w:pPr>
        <w:spacing w:line="500" w:lineRule="exact"/>
        <w:ind w:right="-335" w:firstLine="548" w:firstLineChars="196"/>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lang w:val="en-US" w:eastAsia="zh-CN"/>
        </w:rPr>
        <w:t>9</w:t>
      </w:r>
      <w:r>
        <w:rPr>
          <w:rFonts w:hint="eastAsia" w:ascii="仿宋_GB2312" w:hAnsi="仿宋_GB2312" w:eastAsia="仿宋_GB2312" w:cs="仿宋_GB2312"/>
          <w:bCs/>
          <w:sz w:val="28"/>
          <w:szCs w:val="28"/>
          <w:highlight w:val="none"/>
        </w:rPr>
        <w:t>.3</w:t>
      </w:r>
      <w:r>
        <w:rPr>
          <w:rFonts w:hint="eastAsia" w:ascii="仿宋_GB2312" w:hAnsi="仿宋_GB2312" w:eastAsia="仿宋_GB2312" w:cs="仿宋_GB2312"/>
          <w:sz w:val="28"/>
          <w:szCs w:val="28"/>
          <w:highlight w:val="none"/>
        </w:rPr>
        <w:t>本合同在履行过程中发生纠纷，甲、乙方应及时协商解决，协商无法解决纠纷时，可向甲方所在地</w:t>
      </w:r>
      <w:r>
        <w:rPr>
          <w:rFonts w:hint="eastAsia" w:ascii="仿宋_GB2312" w:hAnsi="仿宋_GB2312" w:eastAsia="仿宋_GB2312" w:cs="仿宋_GB2312"/>
          <w:sz w:val="28"/>
          <w:szCs w:val="28"/>
          <w:highlight w:val="none"/>
          <w:lang w:val="en-US" w:eastAsia="zh-CN"/>
        </w:rPr>
        <w:t>有管辖权的人民</w:t>
      </w:r>
      <w:r>
        <w:rPr>
          <w:rFonts w:hint="eastAsia" w:ascii="仿宋_GB2312" w:hAnsi="仿宋_GB2312" w:eastAsia="仿宋_GB2312" w:cs="仿宋_GB2312"/>
          <w:sz w:val="28"/>
          <w:szCs w:val="28"/>
          <w:highlight w:val="none"/>
        </w:rPr>
        <w:t>法院</w:t>
      </w:r>
      <w:r>
        <w:rPr>
          <w:rFonts w:hint="eastAsia" w:ascii="仿宋_GB2312" w:hAnsi="仿宋_GB2312" w:eastAsia="仿宋_GB2312" w:cs="仿宋_GB2312"/>
          <w:sz w:val="28"/>
          <w:szCs w:val="28"/>
          <w:highlight w:val="none"/>
          <w:lang w:val="en-US" w:eastAsia="zh-CN"/>
        </w:rPr>
        <w:t>提起诉讼</w:t>
      </w:r>
      <w:r>
        <w:rPr>
          <w:rFonts w:hint="eastAsia" w:ascii="仿宋_GB2312" w:hAnsi="仿宋_GB2312" w:eastAsia="仿宋_GB2312" w:cs="仿宋_GB2312"/>
          <w:sz w:val="28"/>
          <w:szCs w:val="28"/>
          <w:highlight w:val="none"/>
        </w:rPr>
        <w:t>。</w:t>
      </w:r>
    </w:p>
    <w:p w14:paraId="78F632D8">
      <w:pPr>
        <w:spacing w:line="500" w:lineRule="exact"/>
        <w:ind w:right="-335" w:firstLine="548" w:firstLineChars="196"/>
        <w:rPr>
          <w:rFonts w:hint="eastAsia" w:ascii="仿宋_GB2312" w:hAnsi="仿宋_GB2312" w:eastAsia="仿宋_GB2312" w:cs="仿宋_GB2312"/>
          <w:sz w:val="28"/>
          <w:szCs w:val="28"/>
          <w:highlight w:val="none"/>
        </w:rPr>
      </w:pPr>
      <w:r>
        <w:rPr>
          <w:rFonts w:hint="eastAsia" w:ascii="仿宋_GB2312" w:hAnsi="仿宋_GB2312" w:eastAsia="仿宋_GB2312" w:cs="仿宋_GB2312"/>
          <w:bCs/>
          <w:sz w:val="28"/>
          <w:szCs w:val="28"/>
          <w:highlight w:val="none"/>
          <w:lang w:val="en-US" w:eastAsia="zh-CN"/>
        </w:rPr>
        <w:t>9</w:t>
      </w:r>
      <w:r>
        <w:rPr>
          <w:rFonts w:hint="eastAsia" w:ascii="仿宋_GB2312" w:hAnsi="仿宋_GB2312" w:eastAsia="仿宋_GB2312" w:cs="仿宋_GB2312"/>
          <w:bCs/>
          <w:sz w:val="28"/>
          <w:szCs w:val="28"/>
          <w:highlight w:val="none"/>
        </w:rPr>
        <w:t>.4本合同正本</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rPr>
        <w:t>份，甲方执</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rPr>
        <w:t>份，乙方执</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rPr>
        <w:t>份；副本</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rPr>
        <w:t>份，双方各执</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rPr>
        <w:t>份。</w:t>
      </w:r>
    </w:p>
    <w:p w14:paraId="0FD2B4FF">
      <w:pPr>
        <w:keepNext w:val="0"/>
        <w:keepLines w:val="0"/>
        <w:pageBreakBefore w:val="0"/>
        <w:widowControl/>
        <w:kinsoku/>
        <w:wordWrap/>
        <w:overflowPunct/>
        <w:topLinePunct w:val="0"/>
        <w:autoSpaceDE/>
        <w:autoSpaceDN/>
        <w:bidi w:val="0"/>
        <w:adjustRightInd/>
        <w:snapToGrid/>
        <w:spacing w:line="240" w:lineRule="auto"/>
        <w:ind w:right="-335" w:firstLine="548" w:firstLineChars="196"/>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9</w:t>
      </w:r>
      <w:r>
        <w:rPr>
          <w:rFonts w:hint="eastAsia" w:ascii="仿宋_GB2312" w:hAnsi="仿宋_GB2312" w:eastAsia="仿宋_GB2312" w:cs="仿宋_GB2312"/>
          <w:sz w:val="28"/>
          <w:szCs w:val="28"/>
          <w:highlight w:val="none"/>
        </w:rPr>
        <w:t>.5本合同自甲、乙双方签字或盖章后立即生效。</w:t>
      </w:r>
    </w:p>
    <w:p w14:paraId="589BBDD7">
      <w:pPr>
        <w:keepNext w:val="0"/>
        <w:keepLines w:val="0"/>
        <w:pageBreakBefore w:val="0"/>
        <w:widowControl/>
        <w:kinsoku/>
        <w:wordWrap/>
        <w:overflowPunct/>
        <w:topLinePunct w:val="0"/>
        <w:autoSpaceDE/>
        <w:autoSpaceDN/>
        <w:bidi w:val="0"/>
        <w:adjustRightInd/>
        <w:snapToGrid/>
        <w:spacing w:line="240" w:lineRule="auto"/>
        <w:ind w:right="-335" w:firstLine="548" w:firstLineChars="196"/>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9</w:t>
      </w:r>
      <w:r>
        <w:rPr>
          <w:rFonts w:hint="eastAsia" w:ascii="仿宋_GB2312" w:hAnsi="仿宋_GB2312" w:eastAsia="仿宋_GB2312" w:cs="仿宋_GB2312"/>
          <w:sz w:val="28"/>
          <w:szCs w:val="28"/>
          <w:highlight w:val="none"/>
        </w:rPr>
        <w:t>.6 双方履行合同规定义务后，本合同即行终止。</w:t>
      </w:r>
    </w:p>
    <w:p w14:paraId="1C5EF8FF">
      <w:pPr>
        <w:keepNext w:val="0"/>
        <w:keepLines w:val="0"/>
        <w:pageBreakBefore w:val="0"/>
        <w:widowControl/>
        <w:kinsoku/>
        <w:wordWrap/>
        <w:overflowPunct/>
        <w:topLinePunct w:val="0"/>
        <w:autoSpaceDE/>
        <w:autoSpaceDN/>
        <w:bidi w:val="0"/>
        <w:adjustRightInd/>
        <w:snapToGrid/>
        <w:spacing w:line="240" w:lineRule="auto"/>
        <w:ind w:right="-335" w:firstLine="548" w:firstLineChars="196"/>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（以下无正文）</w:t>
      </w:r>
    </w:p>
    <w:p w14:paraId="574AB379">
      <w:pP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br w:type="page"/>
      </w:r>
    </w:p>
    <w:p w14:paraId="5A037AB4">
      <w:pPr>
        <w:pStyle w:val="2"/>
        <w:spacing w:line="288" w:lineRule="auto"/>
        <w:ind w:firstLine="420"/>
        <w:rPr>
          <w:rFonts w:hint="eastAsia" w:ascii="仿宋_GB2312" w:hAnsi="仿宋_GB2312" w:eastAsia="仿宋_GB2312" w:cs="仿宋_GB2312"/>
          <w:sz w:val="28"/>
          <w:szCs w:val="28"/>
          <w:highlight w:val="none"/>
        </w:rPr>
      </w:pPr>
    </w:p>
    <w:p w14:paraId="5AD6B6CC">
      <w:pPr>
        <w:spacing w:line="288" w:lineRule="auto"/>
        <w:ind w:left="5520" w:hanging="6440" w:hangingChars="23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委托方（甲方）：                承接方（乙方）：</w:t>
      </w:r>
    </w:p>
    <w:p w14:paraId="346D9D55">
      <w:pPr>
        <w:spacing w:line="288" w:lineRule="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（盖章）                          （盖章）    </w:t>
      </w:r>
    </w:p>
    <w:p w14:paraId="2A04DD17">
      <w:pPr>
        <w:spacing w:line="288" w:lineRule="auto"/>
        <w:rPr>
          <w:rFonts w:hint="eastAsia" w:ascii="仿宋_GB2312" w:hAnsi="仿宋_GB2312" w:eastAsia="仿宋_GB2312" w:cs="仿宋_GB2312"/>
          <w:sz w:val="28"/>
          <w:szCs w:val="28"/>
          <w:highlight w:val="none"/>
        </w:rPr>
      </w:pPr>
    </w:p>
    <w:p w14:paraId="717CB89D">
      <w:pPr>
        <w:spacing w:line="288" w:lineRule="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法定代表人：（签章）            法定代表人：（签章）</w:t>
      </w:r>
    </w:p>
    <w:p w14:paraId="0CBDE84B">
      <w:pPr>
        <w:spacing w:line="288" w:lineRule="auto"/>
        <w:rPr>
          <w:rFonts w:hint="eastAsia" w:ascii="仿宋_GB2312" w:hAnsi="仿宋_GB2312" w:eastAsia="仿宋_GB2312" w:cs="仿宋_GB2312"/>
          <w:sz w:val="28"/>
          <w:szCs w:val="28"/>
          <w:highlight w:val="none"/>
        </w:rPr>
      </w:pPr>
    </w:p>
    <w:p w14:paraId="2AEEA072">
      <w:pPr>
        <w:spacing w:line="288" w:lineRule="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经办人签字：                    经办人签字：</w:t>
      </w:r>
    </w:p>
    <w:p w14:paraId="0B9BEBEA">
      <w:pPr>
        <w:spacing w:line="288" w:lineRule="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rPr>
        <w:t>单位地址：                      单位地址：</w:t>
      </w:r>
    </w:p>
    <w:p w14:paraId="0346693B">
      <w:pPr>
        <w:spacing w:line="288" w:lineRule="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邮政编码：                      邮政编码：</w:t>
      </w:r>
    </w:p>
    <w:p w14:paraId="3DFA9757">
      <w:pPr>
        <w:spacing w:line="288" w:lineRule="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电    话：                      电    话：</w:t>
      </w:r>
    </w:p>
    <w:p w14:paraId="5716A338">
      <w:pPr>
        <w:spacing w:line="288" w:lineRule="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传    真：                      传    真：</w:t>
      </w:r>
    </w:p>
    <w:p w14:paraId="29C6F784">
      <w:pPr>
        <w:spacing w:line="288" w:lineRule="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开户银行：                      开户银行：</w:t>
      </w:r>
    </w:p>
    <w:p w14:paraId="519B2455">
      <w:pPr>
        <w:spacing w:line="288" w:lineRule="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银行账号：                      银行账号：</w:t>
      </w:r>
    </w:p>
    <w:p w14:paraId="553E5E32">
      <w:pPr>
        <w:spacing w:line="288" w:lineRule="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日    期：2025 年  月</w:t>
      </w:r>
      <w:r>
        <w:rPr>
          <w:rFonts w:hint="eastAsia" w:ascii="仿宋_GB2312" w:hAnsi="仿宋_GB2312" w:eastAsia="仿宋_GB2312" w:cs="仿宋_GB2312"/>
          <w:sz w:val="28"/>
          <w:szCs w:val="28"/>
          <w:highlight w:val="none"/>
          <w:lang w:val="en-US" w:eastAsia="zh-CN"/>
        </w:rPr>
        <w:t xml:space="preserve">  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    期:2025 年  月</w:t>
      </w:r>
      <w:r>
        <w:rPr>
          <w:rFonts w:hint="eastAsia" w:ascii="仿宋_GB2312" w:hAnsi="仿宋_GB2312" w:eastAsia="仿宋_GB2312" w:cs="仿宋_GB2312"/>
          <w:sz w:val="28"/>
          <w:szCs w:val="28"/>
          <w:highlight w:val="none"/>
          <w:lang w:val="en-US" w:eastAsia="zh-CN"/>
        </w:rPr>
        <w:t xml:space="preserve">  日</w:t>
      </w:r>
    </w:p>
    <w:p w14:paraId="109A127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1D32"/>
    <w:multiLevelType w:val="singleLevel"/>
    <w:tmpl w:val="FFFF1D32"/>
    <w:lvl w:ilvl="0" w:tentative="0">
      <w:start w:val="8"/>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BA680A"/>
    <w:rsid w:val="71BA6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99"/>
    <w:pPr>
      <w:spacing w:line="360" w:lineRule="auto"/>
      <w:ind w:left="-420" w:leftChars="-200" w:right="210" w:rightChars="100" w:firstLine="480" w:firstLineChars="200"/>
    </w:pPr>
    <w:rPr>
      <w:rFonts w:ascii="宋体" w:hAnsi="宋体"/>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cucd-TB"/>
    <w:qFormat/>
    <w:uiPriority w:val="0"/>
    <w:pPr>
      <w:spacing w:line="360" w:lineRule="auto"/>
      <w:jc w:val="center"/>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2025-11-13T07:57:00Z</dcterms:created>
  <dc:creator>Fu_______</dc:creator>
  <cp:lastModifiedBy>Fu_______</cp:lastModifiedBy>
  <dcterms:modified xsi:type="dcterms:W3CDTF">2025-11-13T07:57:30Z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B867EC2E5F0F4DEEA523250F7A1B71D5_11</vt:lpwstr>
  </property>
  <property fmtid="{D5CDD505-2E9C-101B-9397-08002B2CF9AE}" pid="4" name="KSOTemplateDocerSaveRecord">
    <vt:lpwstr>eyJoZGlkIjoiY2MwOWQxY2M2ODkyYTliOWYzM2Q5NDM4YTY1YTM2ZjciLCJ1c2VySWQiOiI3NDA5MTM0MjcifQ==</vt:lpwstr>
  </property>
</Properties>
</file>