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版本号：0617-2521HZ321120251117002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配备婴幼儿安全逃生推车和安全逃生背带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0617-2521HZ3211</w:t>
      </w:r>
      <w:r>
        <w:br/>
      </w:r>
      <w:r>
        <w:br/>
      </w:r>
      <w:r>
        <w:br/>
      </w:r>
    </w:p>
    <w:p>
      <w:pPr>
        <w:pStyle w:val="null3"/>
        <w:jc w:val="center"/>
        <w:outlineLvl w:val="2"/>
      </w:pPr>
      <w:r>
        <w:rPr>
          <w:rFonts w:ascii="仿宋_GB2312" w:hAnsi="仿宋_GB2312" w:cs="仿宋_GB2312" w:eastAsia="仿宋_GB2312"/>
          <w:sz w:val="28"/>
          <w:b/>
        </w:rPr>
        <w:t>西安市卫生健康委员会（本级）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西安市卫生健康委员会（本级）</w:t>
      </w:r>
      <w:r>
        <w:rPr>
          <w:rFonts w:ascii="仿宋_GB2312" w:hAnsi="仿宋_GB2312" w:cs="仿宋_GB2312" w:eastAsia="仿宋_GB2312"/>
        </w:rPr>
        <w:t>委托，拟对</w:t>
      </w:r>
      <w:r>
        <w:rPr>
          <w:rFonts w:ascii="仿宋_GB2312" w:hAnsi="仿宋_GB2312" w:cs="仿宋_GB2312" w:eastAsia="仿宋_GB2312"/>
        </w:rPr>
        <w:t>配备婴幼儿安全逃生推车和安全逃生背带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0617-2521HZ3211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配备婴幼儿安全逃生推车和安全逃生背带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本项目甄选1家供应商为西安市辖区范围内的符合要求的普惠托育机构提供安全配套装备、安全培训及每季度至少一次的安全有关事项演练等托育安全评估服务。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采购包1（配备婴幼儿安全逃生推车和安全逃生背带）：属于专门面向中小企业采购。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西安市卫生健康委员会（本级）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西安市卫生健康委员会（本级）经办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崔浩、宋鹏飞、张喆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 缴费时间:确定中标人后3日内，由中标人向招标代理机构一次付清招标代理服务费。 3. 银行信息:户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西安市卫生健康委员会（本级）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西安市卫生健康委员会（本级）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西安市卫生健康委员会（本级）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本项目甄选1家供应商为西安市辖区范围内的符合要求的普惠托育机构提供安全配套装备、安全培训及每季度至少一次的安全有关事项演练等托育安全评估服务。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婴幼儿安全逃生推车和安全逃生背带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标的名称：婴幼儿安全逃生推车和安全逃生背带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jc w:val="both"/>
              <w:outlineLvl w:val="0"/>
            </w:pPr>
            <w:r>
              <w:rPr>
                <w:rFonts w:ascii="仿宋_GB2312" w:hAnsi="仿宋_GB2312" w:cs="仿宋_GB2312" w:eastAsia="仿宋_GB2312"/>
                <w:sz w:val="21"/>
                <w:b/>
              </w:rPr>
              <w:t>1、项目概况</w:t>
            </w:r>
          </w:p>
          <w:p>
            <w:pPr>
              <w:pStyle w:val="null3"/>
              <w:jc w:val="both"/>
            </w:pPr>
            <w:r>
              <w:rPr>
                <w:rFonts w:ascii="仿宋_GB2312" w:hAnsi="仿宋_GB2312" w:cs="仿宋_GB2312" w:eastAsia="仿宋_GB2312"/>
                <w:sz w:val="21"/>
              </w:rPr>
              <w:t>本项目甄选</w:t>
            </w:r>
            <w:r>
              <w:rPr>
                <w:rFonts w:ascii="仿宋_GB2312" w:hAnsi="仿宋_GB2312" w:cs="仿宋_GB2312" w:eastAsia="仿宋_GB2312"/>
                <w:sz w:val="21"/>
              </w:rPr>
              <w:t>1家供应商为西安市辖区范围内的符合要求的普惠托育机构提供安全配套装备、安全培训及每季度至少一次的安全有关事项演练等托育安全评估服务。</w:t>
            </w:r>
          </w:p>
          <w:p>
            <w:pPr>
              <w:pStyle w:val="null3"/>
              <w:jc w:val="both"/>
            </w:pPr>
            <w:r>
              <w:rPr>
                <w:rFonts w:ascii="仿宋_GB2312" w:hAnsi="仿宋_GB2312" w:cs="仿宋_GB2312" w:eastAsia="仿宋_GB2312"/>
                <w:sz w:val="21"/>
              </w:rPr>
              <w:t>2、技术要求</w:t>
            </w:r>
          </w:p>
          <w:tbl>
            <w:tblPr>
              <w:tblBorders>
                <w:top w:val="none" w:color="000000" w:sz="4"/>
                <w:left w:val="none" w:color="000000" w:sz="4"/>
                <w:bottom w:val="none" w:color="000000" w:sz="4"/>
                <w:right w:val="none" w:color="000000" w:sz="4"/>
                <w:insideH w:val="none"/>
                <w:insideV w:val="none"/>
              </w:tblBorders>
            </w:tblPr>
            <w:tblGrid>
              <w:gridCol w:w="217"/>
              <w:gridCol w:w="311"/>
              <w:gridCol w:w="431"/>
              <w:gridCol w:w="1103"/>
              <w:gridCol w:w="235"/>
              <w:gridCol w:w="255"/>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标的名称</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采购项目名秒</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参考图片</w:t>
                  </w:r>
                </w:p>
              </w:tc>
              <w:tc>
                <w:tcPr>
                  <w:tcW w:type="dxa" w:w="11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性能或型号规格及技术指标</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婴幼儿安</w:t>
                  </w:r>
                  <w:r>
                    <w:br/>
                  </w:r>
                  <w:r>
                    <w:rPr>
                      <w:rFonts w:ascii="仿宋_GB2312" w:hAnsi="仿宋_GB2312" w:cs="仿宋_GB2312" w:eastAsia="仿宋_GB2312"/>
                      <w:sz w:val="19"/>
                    </w:rPr>
                    <w:t xml:space="preserve"> 全逃生推</w:t>
                  </w:r>
                  <w:r>
                    <w:br/>
                  </w:r>
                  <w:r>
                    <w:rPr>
                      <w:rFonts w:ascii="仿宋_GB2312" w:hAnsi="仿宋_GB2312" w:cs="仿宋_GB2312" w:eastAsia="仿宋_GB2312"/>
                      <w:sz w:val="19"/>
                    </w:rPr>
                    <w:t xml:space="preserve"> 车</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23045" cy="2798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3045" cy="27983"/>
                                </a:xfrm>
                                <a:prstGeom prst="rect">
                                  <a:avLst/>
                                </a:prstGeom>
                              </pic:spPr>
                            </pic:pic>
                          </a:graphicData>
                        </a:graphic>
                      </wp:inline>
                    </w:drawing>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展开尺寸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121*83*148cm</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收车尺寸：</w:t>
                  </w:r>
                  <w:r>
                    <w:rPr>
                      <w:rFonts w:ascii="仿宋_GB2312" w:hAnsi="仿宋_GB2312" w:cs="仿宋_GB2312" w:eastAsia="仿宋_GB2312"/>
                      <w:sz w:val="21"/>
                    </w:rPr>
                    <w:t>≥</w:t>
                  </w:r>
                  <w:r>
                    <w:rPr>
                      <w:rFonts w:ascii="仿宋_GB2312" w:hAnsi="仿宋_GB2312" w:cs="仿宋_GB2312" w:eastAsia="仿宋_GB2312"/>
                      <w:sz w:val="21"/>
                    </w:rPr>
                    <w:t>130*83*68cm</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净重：</w:t>
                  </w:r>
                  <w:r>
                    <w:rPr>
                      <w:rFonts w:ascii="仿宋_GB2312" w:hAnsi="仿宋_GB2312" w:cs="仿宋_GB2312" w:eastAsia="仿宋_GB2312"/>
                      <w:sz w:val="21"/>
                    </w:rPr>
                    <w:t>≥</w:t>
                  </w:r>
                  <w:r>
                    <w:rPr>
                      <w:rFonts w:ascii="仿宋_GB2312" w:hAnsi="仿宋_GB2312" w:cs="仿宋_GB2312" w:eastAsia="仿宋_GB2312"/>
                      <w:sz w:val="21"/>
                    </w:rPr>
                    <w:t>33KG</w:t>
                  </w:r>
                </w:p>
                <w:p>
                  <w:pPr>
                    <w:pStyle w:val="null3"/>
                    <w:numPr>
                      <w:ilvl w:val="0"/>
                      <w:numId w:val="1"/>
                    </w:numPr>
                    <w:jc w:val="both"/>
                  </w:pPr>
                  <w:r>
                    <w:rPr>
                      <w:rFonts w:ascii="仿宋_GB2312" w:hAnsi="仿宋_GB2312" w:cs="仿宋_GB2312" w:eastAsia="仿宋_GB2312"/>
                      <w:sz w:val="21"/>
                    </w:rPr>
                    <w:t>毛</w:t>
                  </w:r>
                  <w:r>
                    <w:rPr>
                      <w:rFonts w:ascii="仿宋_GB2312" w:hAnsi="仿宋_GB2312" w:cs="仿宋_GB2312" w:eastAsia="仿宋_GB2312"/>
                      <w:sz w:val="21"/>
                    </w:rPr>
                    <w:t>重：</w:t>
                  </w:r>
                  <w:r>
                    <w:rPr>
                      <w:rFonts w:ascii="仿宋_GB2312" w:hAnsi="仿宋_GB2312" w:cs="仿宋_GB2312" w:eastAsia="仿宋_GB2312"/>
                      <w:sz w:val="21"/>
                    </w:rPr>
                    <w:t>≥</w:t>
                  </w:r>
                  <w:r>
                    <w:rPr>
                      <w:rFonts w:ascii="仿宋_GB2312" w:hAnsi="仿宋_GB2312" w:cs="仿宋_GB2312" w:eastAsia="仿宋_GB2312"/>
                      <w:sz w:val="21"/>
                    </w:rPr>
                    <w:t>45KG</w:t>
                  </w:r>
                </w:p>
                <w:p>
                  <w:pPr>
                    <w:pStyle w:val="null3"/>
                    <w:numPr>
                      <w:ilvl w:val="0"/>
                      <w:numId w:val="1"/>
                    </w:numPr>
                    <w:jc w:val="both"/>
                  </w:pPr>
                  <w:r>
                    <w:rPr>
                      <w:rFonts w:ascii="仿宋_GB2312" w:hAnsi="仿宋_GB2312" w:cs="仿宋_GB2312" w:eastAsia="仿宋_GB2312"/>
                      <w:sz w:val="21"/>
                    </w:rPr>
                    <w:t>座布：</w:t>
                  </w:r>
                  <w:r>
                    <w:rPr>
                      <w:rFonts w:ascii="仿宋_GB2312" w:hAnsi="仿宋_GB2312" w:cs="仿宋_GB2312" w:eastAsia="仿宋_GB2312"/>
                      <w:sz w:val="21"/>
                    </w:rPr>
                    <w:t>1680D高支涤纶</w:t>
                  </w:r>
                  <w:r>
                    <w:rPr>
                      <w:rFonts w:ascii="仿宋_GB2312" w:hAnsi="仿宋_GB2312" w:cs="仿宋_GB2312" w:eastAsia="仿宋_GB2312"/>
                      <w:sz w:val="21"/>
                    </w:rPr>
                    <w:t>或同等性能</w:t>
                  </w:r>
                </w:p>
                <w:p>
                  <w:pPr>
                    <w:pStyle w:val="null3"/>
                    <w:numPr>
                      <w:ilvl w:val="0"/>
                      <w:numId w:val="1"/>
                    </w:numPr>
                    <w:jc w:val="both"/>
                  </w:pPr>
                  <w:r>
                    <w:rPr>
                      <w:rFonts w:ascii="仿宋_GB2312" w:hAnsi="仿宋_GB2312" w:cs="仿宋_GB2312" w:eastAsia="仿宋_GB2312"/>
                      <w:sz w:val="21"/>
                    </w:rPr>
                    <w:t>车身：铁架</w:t>
                  </w:r>
                </w:p>
                <w:p>
                  <w:pPr>
                    <w:pStyle w:val="null3"/>
                    <w:numPr>
                      <w:ilvl w:val="0"/>
                      <w:numId w:val="1"/>
                    </w:numPr>
                    <w:jc w:val="both"/>
                  </w:pPr>
                  <w:r>
                    <w:rPr>
                      <w:rFonts w:ascii="仿宋_GB2312" w:hAnsi="仿宋_GB2312" w:cs="仿宋_GB2312" w:eastAsia="仿宋_GB2312"/>
                      <w:sz w:val="21"/>
                    </w:rPr>
                    <w:t>轮子：</w:t>
                  </w:r>
                  <w:r>
                    <w:rPr>
                      <w:rFonts w:ascii="仿宋_GB2312" w:hAnsi="仿宋_GB2312" w:cs="仿宋_GB2312" w:eastAsia="仿宋_GB2312"/>
                      <w:sz w:val="21"/>
                    </w:rPr>
                    <w:t>EVA材质轮胎(前轮10"、后轮12")</w:t>
                  </w:r>
                </w:p>
                <w:p>
                  <w:pPr>
                    <w:pStyle w:val="null3"/>
                    <w:numPr>
                      <w:ilvl w:val="0"/>
                      <w:numId w:val="1"/>
                    </w:numPr>
                    <w:jc w:val="both"/>
                  </w:pPr>
                  <w:r>
                    <w:rPr>
                      <w:rFonts w:ascii="仿宋_GB2312" w:hAnsi="仿宋_GB2312" w:cs="仿宋_GB2312" w:eastAsia="仿宋_GB2312"/>
                      <w:sz w:val="21"/>
                    </w:rPr>
                    <w:t>下压式手把刹车；下压把手车子可以前进，遇到紧急情况，松手即可停车。</w:t>
                  </w:r>
                </w:p>
                <w:p>
                  <w:pPr>
                    <w:pStyle w:val="null3"/>
                    <w:numPr>
                      <w:ilvl w:val="0"/>
                      <w:numId w:val="1"/>
                    </w:numPr>
                    <w:jc w:val="both"/>
                  </w:pPr>
                  <w:r>
                    <w:rPr>
                      <w:rFonts w:ascii="仿宋_GB2312" w:hAnsi="仿宋_GB2312" w:cs="仿宋_GB2312" w:eastAsia="仿宋_GB2312"/>
                      <w:sz w:val="21"/>
                    </w:rPr>
                    <w:t>座椅可拆卸：可同时乘坐</w:t>
                  </w:r>
                  <w:r>
                    <w:rPr>
                      <w:rFonts w:ascii="仿宋_GB2312" w:hAnsi="仿宋_GB2312" w:cs="仿宋_GB2312" w:eastAsia="仿宋_GB2312"/>
                      <w:sz w:val="21"/>
                    </w:rPr>
                    <w:t>4人，并配有独立安全带。可根据使用要求安装、取下或调整座椅方向，同向或对向安装。</w:t>
                  </w:r>
                </w:p>
                <w:p>
                  <w:pPr>
                    <w:pStyle w:val="null3"/>
                    <w:numPr>
                      <w:ilvl w:val="0"/>
                      <w:numId w:val="1"/>
                    </w:numPr>
                    <w:jc w:val="both"/>
                  </w:pPr>
                  <w:r>
                    <w:rPr>
                      <w:rFonts w:ascii="仿宋_GB2312" w:hAnsi="仿宋_GB2312" w:cs="仿宋_GB2312" w:eastAsia="仿宋_GB2312"/>
                      <w:sz w:val="21"/>
                    </w:rPr>
                    <w:t>车内可站立；车子两用，可坐可站，满足多人数使用。遇到危险情况，可同时容纳多人进入车内，由老师推离危险场地，起到集中疏散功能。</w:t>
                  </w:r>
                </w:p>
                <w:p>
                  <w:pPr>
                    <w:pStyle w:val="null3"/>
                    <w:numPr>
                      <w:ilvl w:val="0"/>
                      <w:numId w:val="1"/>
                    </w:numPr>
                    <w:jc w:val="both"/>
                  </w:pPr>
                  <w:r>
                    <w:rPr>
                      <w:rFonts w:ascii="仿宋_GB2312" w:hAnsi="仿宋_GB2312" w:cs="仿宋_GB2312" w:eastAsia="仿宋_GB2312"/>
                      <w:sz w:val="21"/>
                    </w:rPr>
                    <w:t>后拉链仓：遇到紧急情况，老师打开后拉链仓，幼儿能快递进入车内，由老师推离危险场地。</w:t>
                  </w:r>
                </w:p>
                <w:p>
                  <w:pPr>
                    <w:pStyle w:val="null3"/>
                    <w:numPr>
                      <w:ilvl w:val="0"/>
                      <w:numId w:val="1"/>
                    </w:numPr>
                    <w:jc w:val="both"/>
                  </w:pPr>
                  <w:r>
                    <w:rPr>
                      <w:rFonts w:ascii="仿宋_GB2312" w:hAnsi="仿宋_GB2312" w:cs="仿宋_GB2312" w:eastAsia="仿宋_GB2312"/>
                      <w:sz w:val="21"/>
                    </w:rPr>
                    <w:t>顶篷可拆卸：可根据天气情况安装及拆下，并且能调整方向。防风防晒，保护婴幼儿外出健康。</w:t>
                  </w:r>
                </w:p>
                <w:p>
                  <w:pPr>
                    <w:pStyle w:val="null3"/>
                    <w:numPr>
                      <w:ilvl w:val="0"/>
                      <w:numId w:val="1"/>
                    </w:numPr>
                    <w:jc w:val="both"/>
                  </w:pPr>
                  <w:r>
                    <w:rPr>
                      <w:rFonts w:ascii="仿宋_GB2312" w:hAnsi="仿宋_GB2312" w:cs="仿宋_GB2312" w:eastAsia="仿宋_GB2312"/>
                      <w:sz w:val="21"/>
                    </w:rPr>
                    <w:t>一键收车，整车可折叠：操作简单、便捷。</w:t>
                  </w:r>
                </w:p>
                <w:p>
                  <w:pPr>
                    <w:pStyle w:val="null3"/>
                    <w:numPr>
                      <w:ilvl w:val="0"/>
                      <w:numId w:val="1"/>
                    </w:numPr>
                    <w:jc w:val="both"/>
                  </w:pPr>
                  <w:r>
                    <w:rPr>
                      <w:rFonts w:ascii="仿宋_GB2312" w:hAnsi="仿宋_GB2312" w:cs="仿宋_GB2312" w:eastAsia="仿宋_GB2312"/>
                      <w:sz w:val="21"/>
                    </w:rPr>
                    <w:t>配件：防尘罩、雨罩、折叠座椅</w:t>
                  </w:r>
                  <w:r>
                    <w:rPr>
                      <w:rFonts w:ascii="仿宋_GB2312" w:hAnsi="仿宋_GB2312" w:cs="仿宋_GB2312" w:eastAsia="仿宋_GB2312"/>
                      <w:sz w:val="21"/>
                    </w:rPr>
                    <w:t>*2，配备齐全的配件，适应多种应用场景。</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制动装置：车辆应安装有制动装置</w:t>
                  </w:r>
                  <w:r>
                    <w:rPr>
                      <w:rFonts w:ascii="仿宋_GB2312" w:hAnsi="仿宋_GB2312" w:cs="仿宋_GB2312" w:eastAsia="仿宋_GB2312"/>
                      <w:sz w:val="21"/>
                    </w:rPr>
                    <w:t>,站立于手把一侧的使用者(看护人)应可以操作此装置。如手把可以换向，则车辆前后两端都应安装制动装置。</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折叠锁定装置：防止儿童在车中及将儿童抱出或放入推车的过程中车辆意外折叠</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束缚系统强度：座兜上应装有永久性的安全带系统</w:t>
                  </w:r>
                  <w:r>
                    <w:rPr>
                      <w:rFonts w:ascii="仿宋_GB2312" w:hAnsi="仿宋_GB2312" w:cs="仿宋_GB2312" w:eastAsia="仿宋_GB2312"/>
                      <w:sz w:val="21"/>
                    </w:rPr>
                    <w:t>,至少包括一组腰带和一根胯带。腰带和胯带的最小宽度应为20 mm。肩带的宽度最小应为 15 mm。</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撞击强度</w:t>
                  </w:r>
                  <w:r>
                    <w:rPr>
                      <w:rFonts w:ascii="仿宋_GB2312" w:hAnsi="仿宋_GB2312" w:cs="仿宋_GB2312" w:eastAsia="仿宋_GB2312"/>
                      <w:sz w:val="21"/>
                    </w:rPr>
                    <w:t>：</w:t>
                  </w:r>
                  <w:r>
                    <w:rPr>
                      <w:rFonts w:ascii="仿宋_GB2312" w:hAnsi="仿宋_GB2312" w:cs="仿宋_GB2312" w:eastAsia="仿宋_GB2312"/>
                      <w:sz w:val="21"/>
                    </w:rPr>
                    <w:t>车辆经撞击后无任何影响其安全性的损坏。可拆卸的卧兜或座兜在车架上的移动不应超过</w:t>
                  </w:r>
                  <w:r>
                    <w:rPr>
                      <w:rFonts w:ascii="仿宋_GB2312" w:hAnsi="仿宋_GB2312" w:cs="仿宋_GB2312" w:eastAsia="仿宋_GB2312"/>
                      <w:sz w:val="21"/>
                    </w:rPr>
                    <w:t xml:space="preserve"> 10 mm。</w:t>
                  </w:r>
                </w:p>
                <w:p>
                  <w:pPr>
                    <w:pStyle w:val="null3"/>
                    <w:numPr>
                      <w:ilvl w:val="0"/>
                      <w:numId w:val="1"/>
                    </w:numPr>
                    <w:jc w:val="both"/>
                  </w:pPr>
                  <w:r>
                    <w:rPr>
                      <w:rFonts w:ascii="仿宋_GB2312" w:hAnsi="仿宋_GB2312" w:cs="仿宋_GB2312" w:eastAsia="仿宋_GB2312"/>
                      <w:sz w:val="21"/>
                    </w:rPr>
                    <w:t>整体车身明黄色：</w:t>
                  </w:r>
                  <w:r>
                    <w:rPr>
                      <w:rFonts w:ascii="仿宋_GB2312" w:hAnsi="仿宋_GB2312" w:cs="仿宋_GB2312" w:eastAsia="仿宋_GB2312"/>
                      <w:sz w:val="21"/>
                    </w:rPr>
                    <w:t>明</w:t>
                  </w:r>
                  <w:r>
                    <w:rPr>
                      <w:rFonts w:ascii="仿宋_GB2312" w:hAnsi="仿宋_GB2312" w:cs="仿宋_GB2312" w:eastAsia="仿宋_GB2312"/>
                      <w:sz w:val="21"/>
                    </w:rPr>
                    <w:t>黄色是国家规定的安全信息警告颜色，能起到引导注意和警示危险的作用，充分保护婴幼儿安全。</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347</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辆</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安全逃生背带</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23045" cy="3102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23045" cy="31029"/>
                                </a:xfrm>
                                <a:prstGeom prst="rect">
                                  <a:avLst/>
                                </a:prstGeom>
                              </pic:spPr>
                            </pic:pic>
                          </a:graphicData>
                        </a:graphic>
                      </wp:inline>
                    </w:drawing>
                  </w: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最大承重</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15公斤/单个娃袋</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75cmx58cm</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袋深</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50cm，加强深度，保障婴幼儿能稳固在袋中</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4个娃袋，一名老师可同时背4名婴幼儿疏散撤离。</w:t>
                  </w:r>
                </w:p>
                <w:p>
                  <w:pPr>
                    <w:pStyle w:val="null3"/>
                    <w:numPr>
                      <w:ilvl w:val="0"/>
                      <w:numId w:val="1"/>
                    </w:numPr>
                    <w:jc w:val="both"/>
                  </w:pPr>
                  <w:r>
                    <w:rPr>
                      <w:rFonts w:ascii="仿宋_GB2312" w:hAnsi="仿宋_GB2312" w:cs="仿宋_GB2312" w:eastAsia="仿宋_GB2312"/>
                      <w:sz w:val="21"/>
                    </w:rPr>
                    <w:t>布</w:t>
                  </w:r>
                  <w:r>
                    <w:rPr>
                      <w:rFonts w:ascii="仿宋_GB2312" w:hAnsi="仿宋_GB2312" w:cs="仿宋_GB2312" w:eastAsia="仿宋_GB2312"/>
                      <w:sz w:val="21"/>
                    </w:rPr>
                    <w:t>:100%全棉牛仔</w:t>
                  </w:r>
                </w:p>
                <w:p>
                  <w:pPr>
                    <w:pStyle w:val="null3"/>
                    <w:numPr>
                      <w:ilvl w:val="0"/>
                      <w:numId w:val="1"/>
                    </w:numPr>
                    <w:jc w:val="both"/>
                  </w:pPr>
                  <w:r>
                    <w:rPr>
                      <w:rFonts w:ascii="仿宋_GB2312" w:hAnsi="仿宋_GB2312" w:cs="仿宋_GB2312" w:eastAsia="仿宋_GB2312"/>
                      <w:sz w:val="21"/>
                    </w:rPr>
                    <w:t>配布</w:t>
                  </w:r>
                  <w:r>
                    <w:rPr>
                      <w:rFonts w:ascii="仿宋_GB2312" w:hAnsi="仿宋_GB2312" w:cs="仿宋_GB2312" w:eastAsia="仿宋_GB2312"/>
                      <w:sz w:val="21"/>
                    </w:rPr>
                    <w:t>:100%聚脂纤维</w:t>
                  </w:r>
                </w:p>
                <w:p>
                  <w:pPr>
                    <w:pStyle w:val="null3"/>
                    <w:numPr>
                      <w:ilvl w:val="0"/>
                      <w:numId w:val="1"/>
                    </w:numPr>
                    <w:jc w:val="both"/>
                  </w:pPr>
                  <w:r>
                    <w:rPr>
                      <w:rFonts w:ascii="仿宋_GB2312" w:hAnsi="仿宋_GB2312" w:cs="仿宋_GB2312" w:eastAsia="仿宋_GB2312"/>
                      <w:sz w:val="21"/>
                    </w:rPr>
                    <w:t>360度荧光反光布，应急黑暗状态时能迅速被发现，充分保障安全。</w:t>
                  </w:r>
                </w:p>
                <w:p>
                  <w:pPr>
                    <w:pStyle w:val="null3"/>
                    <w:numPr>
                      <w:ilvl w:val="0"/>
                      <w:numId w:val="1"/>
                    </w:numPr>
                    <w:jc w:val="both"/>
                  </w:pPr>
                  <w:r>
                    <w:rPr>
                      <w:rFonts w:ascii="仿宋_GB2312" w:hAnsi="仿宋_GB2312" w:cs="仿宋_GB2312" w:eastAsia="仿宋_GB2312"/>
                      <w:sz w:val="21"/>
                    </w:rPr>
                    <w:t>两侧魔术贴，可调节宽度：可根据婴幼儿年龄体重调节，满足各年龄段使用。</w:t>
                  </w:r>
                </w:p>
                <w:p>
                  <w:pPr>
                    <w:pStyle w:val="null3"/>
                    <w:numPr>
                      <w:ilvl w:val="0"/>
                      <w:numId w:val="1"/>
                    </w:numPr>
                    <w:jc w:val="both"/>
                  </w:pPr>
                  <w:r>
                    <w:rPr>
                      <w:rFonts w:ascii="仿宋_GB2312" w:hAnsi="仿宋_GB2312" w:cs="仿宋_GB2312" w:eastAsia="仿宋_GB2312"/>
                      <w:sz w:val="21"/>
                    </w:rPr>
                    <w:t>背心式设计，方便老师能迅穿脱。</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bl>
          <w:p>
            <w:pPr>
              <w:pStyle w:val="null3"/>
              <w:jc w:val="both"/>
            </w:pPr>
            <w:r>
              <w:rPr>
                <w:rFonts w:ascii="仿宋_GB2312" w:hAnsi="仿宋_GB2312" w:cs="仿宋_GB2312" w:eastAsia="仿宋_GB2312"/>
                <w:sz w:val="22"/>
              </w:rPr>
              <w:t>本项目采购核心产品为</w:t>
            </w:r>
            <w:r>
              <w:rPr>
                <w:rFonts w:ascii="仿宋_GB2312" w:hAnsi="仿宋_GB2312" w:cs="仿宋_GB2312" w:eastAsia="仿宋_GB2312"/>
                <w:sz w:val="22"/>
              </w:rPr>
              <w:t>“</w:t>
            </w:r>
            <w:r>
              <w:rPr>
                <w:rFonts w:ascii="仿宋_GB2312" w:hAnsi="仿宋_GB2312" w:cs="仿宋_GB2312" w:eastAsia="仿宋_GB2312"/>
                <w:sz w:val="21"/>
              </w:rPr>
              <w:t>婴幼儿安全逃生推车</w:t>
            </w:r>
            <w:r>
              <w:rPr>
                <w:rFonts w:ascii="仿宋_GB2312" w:hAnsi="仿宋_GB2312" w:cs="仿宋_GB2312" w:eastAsia="仿宋_GB2312"/>
                <w:sz w:val="22"/>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b/>
              </w:rPr>
              <w:t>3、培训要求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培训需贴合采购产品使用场景，突出针对性，确保内容与操作人员实际工作需求匹配。</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培训内容需具备专业性，涵盖产品操作规范、安全注意事项、日常维护技巧、应急处理流程等核心模块。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制定详细可行的培训计划，明确培训方式（如现场培训、线上指导等）、培训时长、参训人员范围及培训目标。</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注重培训效果保障，包含言行规范、服务意识、协调配合等相关内容，可通过考核、答疑等方式确保操作人员熟练掌握技能。</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提供培训相关书面资料（如操作手册、培训课件等），方便参训人员后续查阅。</w:t>
            </w:r>
          </w:p>
          <w:p>
            <w:pPr>
              <w:pStyle w:val="null3"/>
              <w:jc w:val="left"/>
            </w:pPr>
            <w:r>
              <w:rPr>
                <w:rFonts w:ascii="仿宋_GB2312" w:hAnsi="仿宋_GB2312" w:cs="仿宋_GB2312" w:eastAsia="仿宋_GB2312"/>
              </w:rPr>
              <w:t>4、</w:t>
            </w:r>
            <w:r>
              <w:rPr>
                <w:rFonts w:ascii="仿宋_GB2312" w:hAnsi="仿宋_GB2312" w:cs="仿宋_GB2312" w:eastAsia="仿宋_GB2312"/>
                <w:sz w:val="24"/>
                <w:b/>
              </w:rPr>
              <w:t>售后服务要求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供应商需提供完整的售后服务承诺书，明确服务内容、响应机制及保障措施，确保符合采购文件核心要求。</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质保期设定为2年，自产品验收合格之日起计算；质保期内免费提供维修、零部件更换等服务，因人为损坏导致的故障除外。</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建立快速故障响应机制，明确故障处理流程及时限，接到报修后应在约定时间内派员处理，保障产品正常使用。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提供免费保修期外的维修方案，明确维修费用、零部件价格等收费标准，收费应合理透明。</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负责产品的上门安装、调试服务，确保安装过程规范，不影响采购方日常运营，安装完成后需进行验收确认。</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制定完善的应急保障方案，详细说明售后维护及应急处理的方法、实现方式，确保突发情况能及时响应。</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明确售后服务对接方式，提供24小时服务热线及专属对接人员信息，保障沟通顺畅。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★交货期：3个月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★西安市辖区范围</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★合同签订生效后，采购方在收到供应商开具的等额合法有效发票后，按合同约定向供应商 支付合同总金额的（供应商应按要求提供合法有效发票，否则采购方有权顺延付款时间，且不承担违约责任）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★供应商完成全部产品交付、安装调试，并经采购方组织验收合格后，采购方在收到供应商 开具的剩余金额对应合法有效发票后，支付合同总金额的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★验收合格一年后，经采购方确认产品无质量问题且供应商履行完毕全部售后服务义务后， 采购方一次性支付剩余合同总金额的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 提供注册登记凭证（营业执照、其他组织经营的合法凭证）； （2）具有良好的商业信誉和健全的财务会计制度 ①2023年度或2024年度经审计的赋码财务报告（即提供由注册会计师行业统一监管平台赋码的经审计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（3）具有履行合同所必需的设备和专业技术能力提供声明文件。 （4）具有依法缴纳税收的良好记录提供缴费所属日期为投标截止时间前12个月内任一月份（投标截止时间当月不计入）的增值税或企业所得税缴费凭据或税务机关出具的完税证明；/在法规范围内不需提供的应出具书面说明和证明文件；（以上二种形式的资料提供任何一种即可）；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以上二种形式的资料提供任何一种即可）； （6）参加政府采购活动前3年内在经营活动中没有重大违法记录的书面声明； （7）法人代表授权书，同时须提供被授权人投标截止时间前3个月内（投标截止时间当月不计入）的缴费凭据或社保机关出具的缴费证明（若法人直接投标则需要提供法定代表人身份证明即可）； （8）本项目专门面向中小企业采购（提供符合《政府采购促进中小企业发展管理办法》（财库﹝2020﹞46号）文件要求的中小企业声明函原件）。说明：残疾人福利性单位和监狱企业视同小型、微型企业，若残疾人福利性单位参与投标的须提供符合《财政部 民政部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资格部分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 本项目专门面向中小企业采购（提供符合《政府采购促进中小企业发展管理办法》（财库﹝2020﹞46号）文件要求的中小企业声明函原件）。说明：残疾人福利性单位和监狱企业视同小型、微型企业，若残疾人福利性单位参与投标的须提供符合《财政部 民政部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资格部分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 投标文件内容是否符合国家法律法规。 ★”的参数需求为实质性要求，供应商必须响应并满足要求，负偏离否决其投标。</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产品性能和技术参数分</w:t>
            </w:r>
          </w:p>
        </w:tc>
        <w:tc>
          <w:tcPr>
            <w:tcW w:type="dxa" w:w="2492"/>
          </w:tcPr>
          <w:p>
            <w:pPr>
              <w:pStyle w:val="null3"/>
            </w:pPr>
            <w:r>
              <w:rPr>
                <w:rFonts w:ascii="仿宋_GB2312" w:hAnsi="仿宋_GB2312" w:cs="仿宋_GB2312" w:eastAsia="仿宋_GB2312"/>
              </w:rPr>
              <w:t>完全满足招标文件要求得15分，未标注▲技术参数及性能负偏离一项扣1分；标注▲技术参数及性能负偏离一项扣2分，扣完为止； 标注▲技术参数及性能须提供技术参数支持资料：包括但不限于投标货物制造商公开发布的印 刷资料（彩色样本、说明书、技术白皮书）或检测机构出具的检测报告等。未提供视为负偏离。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产品适配性方案说明</w:t>
            </w:r>
          </w:p>
        </w:tc>
        <w:tc>
          <w:tcPr>
            <w:tcW w:type="dxa" w:w="2492"/>
          </w:tcPr>
          <w:p>
            <w:pPr>
              <w:pStyle w:val="null3"/>
            </w:pPr>
            <w:r>
              <w:rPr>
                <w:rFonts w:ascii="仿宋_GB2312" w:hAnsi="仿宋_GB2312" w:cs="仿宋_GB2312" w:eastAsia="仿宋_GB2312"/>
              </w:rPr>
              <w:t>需提供采购产品与托育机构使用场景的匹配方案说明，覆盖空间适配、流程适配、人群适配三大维度，确保产品能直接服务于托育机构日常安全管理与应急疏散需求。供应商需提供“产品与托育场景适配性说明文档”，明确标注产品参数与托育机构场景（如走廊宽度、幼儿年龄体重范围）的匹配依据，可附托育机构场地实拍图与产品适配模拟图。 一档（5分）：缺失任一核心维度，或仅笼统提及适配性，未按三大维度划分说明；仅罗列产品参数或场景特征，未说明两者匹配关系，无核心要素支撑。 二档（10分）：适配方案包含三大核心维度，但某一维度内容简略，仅提及核心观点未展开；多数维度包含“产品参数+场景特征”，但匹配逻辑或验证方式描述不完整。 三档（15分）：适配性方案维度覆盖完整包含空间适配、流程适配、人群适配三大维度，每个维度均有独立章节详细说明，无遗漏；内容要素包括每个适配维度均明确“产品参数、场景特征、匹配逻辑、验证方式”四大要素，逻辑闭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重点评审培训方案的“托育场景针对性、内容专业性、执行可行性、效果保障性”，确保方案能切实提升托育机构老师的安全操作能力，助力日常安全管理与应急疏散高效落地。 一档（6分）：拟投入人员的培训方案不全面，培训计划和方式、目标及言行规范、服务意识等内容不全面； 二档（8分）：拟投入人员的培训方案较全面，培训计划和方式、目标及言行规范、服务意识等内容较全面； 三档（10分）：拟投入人员的培训方案较详细，培训计划和方式、目标及言行规范、服务意识、协调关系等内容较详细。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提供自2024年1月1日以后同类项目业绩，每提供1个有效业绩得1分，满分5分，无同类业绩得0分。需提供完整合同复印件、供应商开具发票复印件、采购方付款电子回单复印件并加盖公章。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文件中售后服务承诺书内容的完整性、可行性，故障出现解决方案、免费保修期外维修方案、售后服务措施、其他优惠措施、安装要求及方案、等方面，集体讨论后综合评定其档次并在相应等级内独立打分。未提供不得分。 一档（5分）：有基本的服务承诺，基本能满足招标文件要求； 二档（7分）：综合评定良好的，要求以售后服务承诺书内容的完整性、可行性、免费保修期外维修方案、其他优惠措施、安装要求及方案且描述了项目售后维护和应急保障方案的方法以及实现方式，方案可行较详细； 三档（10分）：综合评定优秀的，以售后服务承诺书内容的、可行性，故障出现解决方案、免费保修期外维修方案、售后服务措施、其他优惠措施、安装要求及方案，应急保障方案且描述了项目售后维护和应急保障方案的方法以及实现方式，服务承诺和保障措施考虑周全完整详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重点评审供应商提供的增值服务（包括但不限于产品外观标识定制、安全咨询等）的“托育场景实用性、服务诚意度、落地可行性”，通过额外增值服务提升项目整体价值，助力托育机构长期安全管理。 一档（5分）：服务内容仅仅提供1类增值服务，或服务类型与托育安全需求关联度低；增值服务脱离托育场景，增值服务多为有偿服务且收费过高，或仅口头承诺无书面说明，执行细节模糊（如未明确服务频次、对接方式），无落地保障。 二档（7分）：服务内容包含2-3类增值服务，以核心类服务为主，覆盖较全面；部分增值服务贴合托育需求，但细节不够具体，部分增值服务免费，部分收取成本费（如外观标识定制），明确核心服务的执行细节，但保障措施不够完善。 三档（10分）：服务内容丰富，至少包含4类及以上增值服务，且无无关服务；每项增值服务均明确贴合托育需求，承诺免费提供（不含人为损坏后的配件更换），明确服务频次、执行流程、责任人员及24小时对接方式，有书面承诺函保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交货进度计划方案</w:t>
            </w:r>
          </w:p>
        </w:tc>
        <w:tc>
          <w:tcPr>
            <w:tcW w:type="dxa" w:w="2492"/>
          </w:tcPr>
          <w:p>
            <w:pPr>
              <w:pStyle w:val="null3"/>
            </w:pPr>
            <w:r>
              <w:rPr>
                <w:rFonts w:ascii="仿宋_GB2312" w:hAnsi="仿宋_GB2312" w:cs="仿宋_GB2312" w:eastAsia="仿宋_GB2312"/>
              </w:rPr>
              <w:t>以“西安辖区内符合条件的普惠托育机构装备全部交付完成”为最终节点，重点评审分批次交付方案与托育机构运营节奏的贴合度，兼顾交付效率与机构日常运营不受干扰，确保交付工作平稳落地。 一档（1分）：无明确分批次逻辑，或单批次覆盖多数机构，易造成交付拥堵；未明确批次划分依据及覆盖范围； 二档（3分）：按单一维度（如仅按区域）划分批次，批次数量合理，但部分批次交付数量偏多，存在轻微集中交付风险； 三档（5分）：按“西安行政区域+机构规模”科学划分批次（如雁塔区/碑林区大型机构为首批），每批次交付数量均衡，避免单批次集中交付压力，且明确每批次覆盖机构名单及交付顺序； 需附“交货周期测算依据”，说明“生产周期、物流运输时间、上门安装调试时间”的具体分配，无测算依据则按最低档得分。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分采用低价优先法计算，即满足招标文件要求且报价最低的供应商报价为评标基准价，其报价分为满分30分。其他供应商的报价分统一按照以下公式计算：投标报价得分=(评标基准价/该供应商的投标报价)×30分（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w:t>
      </w:r>
    </w:p>
    <w:p>
      <w:pPr>
        <w:pStyle w:val="null3"/>
        <w:ind w:firstLine="960"/>
      </w:pPr>
      <w:r>
        <w:rPr>
          <w:rFonts w:ascii="仿宋_GB2312" w:hAnsi="仿宋_GB2312" w:cs="仿宋_GB2312" w:eastAsia="仿宋_GB2312"/>
        </w:rPr>
        <w:t>详见附件：技术商务部分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详见附件：制式合同(1)(1)(1).docx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 Id="rId8"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