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版本号：GXZB2025-105Z20251114001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西安市“多检合一”体检评估工作（2024年度）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GXZB2025-105Z</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西安市“多检合一”体检评估工作（2024年度）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GXZB2025-105Z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西安市“多检合一”体检评估工作（2024年度）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贯彻《中共中央国务院关于建立国土空间规划体系并监督实施的若干意见》（中发〔2019〕18号）和自然资源部“健全规划实时监测、定期评估、动态维护制度，建立城市体检评估机制”的指示精神，落实和完善“一年一体检、五年一评估”的常态化规划实施监督机制，以自然资源部《国土空间规划城市体检评估规程（2025年修订版）》为核心，结合住建部门的《城市体检工作手册（试行）》以及西安市“实时体检评估”的相关要求，开展西安市“多检合一”体检评估工作（2024年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2、企业资质：供应商须具有城乡规划编制甲级资质。</w:t>
      </w:r>
    </w:p>
    <w:p>
      <w:pPr>
        <w:pStyle w:val="null3"/>
      </w:pPr>
      <w:r>
        <w:rPr>
          <w:rFonts w:ascii="仿宋_GB2312" w:hAnsi="仿宋_GB2312" w:cs="仿宋_GB2312" w:eastAsia="仿宋_GB2312"/>
        </w:rPr>
        <w:t>3、项目负责人资格：拟派项目负责人具有注册城乡规划师及规划相关专业正高级职称证书。</w:t>
      </w:r>
    </w:p>
    <w:p>
      <w:pPr>
        <w:pStyle w:val="null3"/>
      </w:pPr>
      <w:r>
        <w:rPr>
          <w:rFonts w:ascii="仿宋_GB2312" w:hAnsi="仿宋_GB2312" w:cs="仿宋_GB2312" w:eastAsia="仿宋_GB2312"/>
        </w:rPr>
        <w:t>4、法定代表人授权委托书：法定代表人授权委托书：法定代表人直接参加投标的，须出具法人身份证，并与营业执照上信息一致。法定代表人授权代表参加投标的，须出具法定代表人授权书及授权代表身份证、授权代表在本单位证明（开标前三个月内任意一个月的个人养老保险缴纳证明）。</w:t>
      </w:r>
    </w:p>
    <w:p>
      <w:pPr>
        <w:pStyle w:val="null3"/>
      </w:pPr>
      <w:r>
        <w:rPr>
          <w:rFonts w:ascii="仿宋_GB2312" w:hAnsi="仿宋_GB2312" w:cs="仿宋_GB2312" w:eastAsia="仿宋_GB2312"/>
        </w:rPr>
        <w:t>5、财务状况报告：提供2024年度经审计的完整财务报告（成立时间至提交投标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6、税收缴纳证明：提供2025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7、社保缴纳证明：提供2025年5月至今已缴存任意一个月社会保障资金缴存单据或社保机构开具的社会保险参保缴费证明，依法不需要缴纳社会保障资金的单位应提供相应证明文件。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8、履行合同所必需的设备和专业技术能力：具备履行合同所必需的设备和专业技术能力的证明材料或书面声明。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9、采购活动前三年内在经营活动中没有重大违法记录：参加政府采购活动前三年内在经营活动中没有重大违法记录的书面声明。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10、企业信用查询：投标人通过“信用中国”网站(www.creditchina.gov.cn)、中国政府采购网(www.ccgp.gov.cn)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11、本项目接受联合体投标：本项目接受联合体投标。投标人提供联合体协议。</w:t>
      </w:r>
    </w:p>
    <w:p>
      <w:pPr>
        <w:pStyle w:val="null3"/>
      </w:pPr>
      <w:r>
        <w:rPr>
          <w:rFonts w:ascii="仿宋_GB2312" w:hAnsi="仿宋_GB2312" w:cs="仿宋_GB2312" w:eastAsia="仿宋_GB2312"/>
        </w:rPr>
        <w:t>12、法律、行政法规规定的其他条件：具备法律、行政法规规定的其他条件的证明材料。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王可欣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阿锦凤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029-82680887/13193383246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成果质量符合自然资源部、陕西省自然资源厅、西安市自然资源和规划局、西安市住房和城乡建设局的相关要求，并通过采购人组织的验收会。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联系人：阿老师</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贯彻《中共中央国务院关于建立国土空间规划体系并监督实施的若干意见》（中发〔2019〕18号）和自然资源部“健全规划实时监测、定期评估、动态维护制度，建立城市体检评估机制”的指示精神，落实和完善“一年一体检、五年一评估”的常态化规划实施监督机制，以自然资源部《国土空间规划城市体检评估规程（2025年修订版）》为核心，结合住建部门的《城市体检工作手册（试行）》以及西安市“实时体检评估”的相关要求，开展西安市“多检合一”体检评估工作（2024年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4,970,000.00</w:t>
      </w:r>
    </w:p>
    <w:p>
      <w:pPr>
        <w:pStyle w:val="null3"/>
      </w:pPr>
      <w:r>
        <w:rPr>
          <w:rFonts w:ascii="仿宋_GB2312" w:hAnsi="仿宋_GB2312" w:cs="仿宋_GB2312" w:eastAsia="仿宋_GB2312"/>
        </w:rPr>
        <w:t>采购包最高限价（元）: 4,970,000.00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西安市“多检合一”体检评估工作（2024年度）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标的名称：西安市“多检合一”体检评估工作（2024年度）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color w:val="2E75B5"/>
              </w:rPr>
              <w:t>项目概况</w:t>
            </w:r>
          </w:p>
          <w:p>
            <w:pPr>
              <w:pStyle w:val="null3"/>
              <w:ind w:firstLine="400"/>
              <w:jc w:val="both"/>
            </w:pPr>
            <w:r>
              <w:rPr>
                <w:rFonts w:ascii="仿宋_GB2312" w:hAnsi="仿宋_GB2312" w:cs="仿宋_GB2312" w:eastAsia="仿宋_GB2312"/>
                <w:color w:val="2E75B5"/>
              </w:rPr>
              <w:t>为了贯彻《中共中央国务院关于建立国土空间规划体系并监督实施的若干意见》（中发〔</w:t>
            </w:r>
            <w:r>
              <w:rPr>
                <w:rFonts w:ascii="仿宋_GB2312" w:hAnsi="仿宋_GB2312" w:cs="仿宋_GB2312" w:eastAsia="仿宋_GB2312"/>
                <w:color w:val="2E75B5"/>
              </w:rPr>
              <w:t>2019〕18号）和自然资源部“健全规划实时监测、定期评估、动态维护制度，建立城市体检评估机制”的指示精神，落实和完善“一年一体检、五年一评估”的常态化规划实施监督机制，以自然资源部《国土空间规划城市体检评估规程（2025年修订版）》为核心，结合住建部门的《城市体检工作手册（试行）》以及西安市“实时体检评估”的相关要求，开展西安市“多检合一”体检评估工作（2024年度）</w:t>
            </w:r>
            <w:r>
              <w:rPr>
                <w:rFonts w:ascii="仿宋_GB2312" w:hAnsi="仿宋_GB2312" w:cs="仿宋_GB2312" w:eastAsia="仿宋_GB2312"/>
                <w:color w:val="2E75B5"/>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color w:val="2E75B5"/>
              </w:rPr>
              <w:t>服务内容</w:t>
            </w:r>
          </w:p>
          <w:p>
            <w:pPr>
              <w:pStyle w:val="null3"/>
              <w:jc w:val="both"/>
            </w:pPr>
            <w:r>
              <w:rPr>
                <w:rFonts w:ascii="仿宋_GB2312" w:hAnsi="仿宋_GB2312" w:cs="仿宋_GB2312" w:eastAsia="仿宋_GB2312"/>
                <w:sz w:val="20"/>
                <w:color w:val="2E75B5"/>
              </w:rPr>
              <w:t>（一）规划范围</w:t>
            </w:r>
          </w:p>
          <w:p>
            <w:pPr>
              <w:pStyle w:val="null3"/>
              <w:jc w:val="both"/>
            </w:pPr>
            <w:r>
              <w:rPr>
                <w:rFonts w:ascii="仿宋_GB2312" w:hAnsi="仿宋_GB2312" w:cs="仿宋_GB2312" w:eastAsia="仿宋_GB2312"/>
                <w:sz w:val="20"/>
                <w:color w:val="2E75B5"/>
              </w:rPr>
              <w:t>西安市域。</w:t>
            </w:r>
          </w:p>
          <w:p>
            <w:pPr>
              <w:pStyle w:val="null3"/>
              <w:jc w:val="both"/>
            </w:pPr>
            <w:r>
              <w:rPr>
                <w:rFonts w:ascii="仿宋_GB2312" w:hAnsi="仿宋_GB2312" w:cs="仿宋_GB2312" w:eastAsia="仿宋_GB2312"/>
                <w:sz w:val="20"/>
                <w:color w:val="2E75B5"/>
              </w:rPr>
              <w:t>（二）工作内容</w:t>
            </w:r>
          </w:p>
          <w:p>
            <w:pPr>
              <w:pStyle w:val="null3"/>
              <w:jc w:val="both"/>
            </w:pPr>
            <w:r>
              <w:rPr>
                <w:rFonts w:ascii="仿宋_GB2312" w:hAnsi="仿宋_GB2312" w:cs="仿宋_GB2312" w:eastAsia="仿宋_GB2312"/>
                <w:sz w:val="20"/>
                <w:color w:val="2E75B5"/>
              </w:rPr>
              <w:t xml:space="preserve">           根据西安市域国土空间资源情况，严格依据自然资源部、陕西省自然资源厅、西安市自然资源和规划局、西安市住房和城乡建设局的相关要求和技术规定，以及国家相关行业标准和规范，进行西安市</w:t>
            </w:r>
            <w:r>
              <w:rPr>
                <w:rFonts w:ascii="仿宋_GB2312" w:hAnsi="仿宋_GB2312" w:cs="仿宋_GB2312" w:eastAsia="仿宋_GB2312"/>
                <w:sz w:val="20"/>
                <w:color w:val="2E75B5"/>
              </w:rPr>
              <w:t>“多检合一”体检评估工作（2024年度）相关研究及成果编制工作。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0"/>
                <w:color w:val="2E75B5"/>
              </w:rPr>
              <w:t>技术要求</w:t>
            </w:r>
          </w:p>
          <w:p>
            <w:pPr>
              <w:pStyle w:val="null3"/>
              <w:ind w:firstLine="400"/>
              <w:jc w:val="both"/>
            </w:pPr>
            <w:r>
              <w:rPr>
                <w:rFonts w:ascii="仿宋_GB2312" w:hAnsi="仿宋_GB2312" w:cs="仿宋_GB2312" w:eastAsia="仿宋_GB2312"/>
                <w:sz w:val="20"/>
                <w:color w:val="2E75B5"/>
              </w:rPr>
              <w:t>(一)成果质量要求：</w:t>
            </w:r>
          </w:p>
          <w:p>
            <w:pPr>
              <w:pStyle w:val="null3"/>
              <w:ind w:right="90" w:firstLine="578"/>
              <w:jc w:val="left"/>
            </w:pPr>
            <w:r>
              <w:rPr>
                <w:rFonts w:ascii="仿宋_GB2312" w:hAnsi="仿宋_GB2312" w:cs="仿宋_GB2312" w:eastAsia="仿宋_GB2312"/>
                <w:sz w:val="20"/>
                <w:color w:val="2E75B5"/>
              </w:rPr>
              <w:t>根据西安市域国土空间资源情况，严格依据自然资源部、陕西省自然资源厅、西安市自然资源和规划局、西安市住房和城乡建设局的相关要求和技术规定，以及国家相关行业标准和规范，进行西安市</w:t>
            </w:r>
            <w:r>
              <w:rPr>
                <w:rFonts w:ascii="仿宋_GB2312" w:hAnsi="仿宋_GB2312" w:cs="仿宋_GB2312" w:eastAsia="仿宋_GB2312"/>
                <w:sz w:val="20"/>
                <w:color w:val="2E75B5"/>
              </w:rPr>
              <w:t>“多检合一”体检评估工作（2024年度）相关研究及成果编制工作。</w:t>
            </w:r>
          </w:p>
          <w:p>
            <w:pPr>
              <w:pStyle w:val="null3"/>
              <w:ind w:right="90" w:firstLine="578"/>
              <w:jc w:val="left"/>
            </w:pPr>
            <w:r>
              <w:rPr>
                <w:rFonts w:ascii="仿宋_GB2312" w:hAnsi="仿宋_GB2312" w:cs="仿宋_GB2312" w:eastAsia="仿宋_GB2312"/>
                <w:sz w:val="20"/>
                <w:color w:val="2E75B5"/>
              </w:rPr>
              <w:t>(二)成果交付要求：</w:t>
            </w:r>
          </w:p>
          <w:p>
            <w:pPr>
              <w:pStyle w:val="null3"/>
              <w:ind w:right="90" w:firstLine="578"/>
              <w:jc w:val="left"/>
            </w:pPr>
            <w:r>
              <w:rPr>
                <w:rFonts w:ascii="仿宋_GB2312" w:hAnsi="仿宋_GB2312" w:cs="仿宋_GB2312" w:eastAsia="仿宋_GB2312"/>
                <w:sz w:val="20"/>
                <w:color w:val="2E75B5"/>
              </w:rPr>
              <w:t>完成《西安市</w:t>
            </w:r>
            <w:r>
              <w:rPr>
                <w:rFonts w:ascii="仿宋_GB2312" w:hAnsi="仿宋_GB2312" w:cs="仿宋_GB2312" w:eastAsia="仿宋_GB2312"/>
                <w:sz w:val="20"/>
                <w:color w:val="2E75B5"/>
              </w:rPr>
              <w:t>“多检合一”评估报告（2024年度）》、《西安市国土空间规划年度体检评估报告》、《西安市城市体检报告》，同时形成《永久基本农田布局优化调整专题研究报告》、《2025年度国土空间规划体检评估工作内容专题研究报告》。内容</w:t>
            </w:r>
            <w:r>
              <w:rPr>
                <w:rFonts w:ascii="仿宋_GB2312" w:hAnsi="仿宋_GB2312" w:cs="仿宋_GB2312" w:eastAsia="仿宋_GB2312"/>
                <w:sz w:val="20"/>
                <w:color w:val="2E75B5"/>
              </w:rPr>
              <w:t>要聚焦规划实施的关键变量和核心任务，对城市体检指标数据进行全面、深入、客观地分析评价，从多个角度综合评估城市生命体征状况和建设发展质量，对国土空间总体规划实施情况进行的年度监测和评价。重点聚焦于查找影响城市竞争力、承载力和可持续发展的短板弱项，精准找出阻碍城市发展的</w:t>
            </w:r>
            <w:r>
              <w:rPr>
                <w:rFonts w:ascii="仿宋_GB2312" w:hAnsi="仿宋_GB2312" w:cs="仿宋_GB2312" w:eastAsia="仿宋_GB2312"/>
                <w:sz w:val="20"/>
                <w:color w:val="2E75B5"/>
              </w:rPr>
              <w:t>“症结”。客观公正地分析评价城市人居环境质量及存在的问题，并依据分析结果，提出具有针对性、可操作性的“城市病”治理对策建议。</w:t>
            </w:r>
          </w:p>
          <w:p>
            <w:pPr>
              <w:pStyle w:val="null3"/>
              <w:ind w:right="90" w:firstLine="400"/>
              <w:jc w:val="left"/>
            </w:pPr>
            <w:r>
              <w:rPr>
                <w:rFonts w:ascii="仿宋_GB2312" w:hAnsi="仿宋_GB2312" w:cs="仿宋_GB2312" w:eastAsia="仿宋_GB2312"/>
                <w:sz w:val="20"/>
                <w:color w:val="2E75B5"/>
              </w:rPr>
              <w:t>形成的全面、详实、精准的成果报告及与成果对应且满足国土空间规划</w:t>
            </w:r>
            <w:r>
              <w:rPr>
                <w:rFonts w:ascii="仿宋_GB2312" w:hAnsi="仿宋_GB2312" w:cs="仿宋_GB2312" w:eastAsia="仿宋_GB2312"/>
                <w:sz w:val="20"/>
                <w:color w:val="2E75B5"/>
              </w:rPr>
              <w:t>“一张图”实施监督信息系统要求的体检评估数据库，并在国土空间规划“一张图”实施监督信息系统上实现体检成果线上展示，体检指标差异对比、趋势研判、横向比较、空间分析等可视化应用。提交形式包括：纸质版和电子版。</w:t>
            </w:r>
          </w:p>
          <w:p>
            <w:pPr>
              <w:pStyle w:val="null3"/>
              <w:ind w:right="90" w:firstLine="400"/>
              <w:jc w:val="left"/>
            </w:pPr>
            <w:r>
              <w:rPr>
                <w:rFonts w:ascii="仿宋_GB2312" w:hAnsi="仿宋_GB2312" w:cs="仿宋_GB2312" w:eastAsia="仿宋_GB2312"/>
                <w:sz w:val="20"/>
                <w:color w:val="2E75B5"/>
              </w:rPr>
              <w:t>纸质成果要求：报告及必要图件，加盖公章</w:t>
            </w:r>
            <w:r>
              <w:rPr>
                <w:rFonts w:ascii="仿宋_GB2312" w:hAnsi="仿宋_GB2312" w:cs="仿宋_GB2312" w:eastAsia="仿宋_GB2312"/>
                <w:sz w:val="20"/>
                <w:color w:val="2E75B5"/>
              </w:rPr>
              <w:t>/技术成果章，图面字体清晰，一式六份。</w:t>
            </w:r>
          </w:p>
          <w:p>
            <w:pPr>
              <w:pStyle w:val="null3"/>
              <w:ind w:right="90" w:firstLine="400"/>
              <w:jc w:val="left"/>
            </w:pPr>
            <w:r>
              <w:rPr>
                <w:rFonts w:ascii="仿宋_GB2312" w:hAnsi="仿宋_GB2312" w:cs="仿宋_GB2312" w:eastAsia="仿宋_GB2312"/>
                <w:sz w:val="20"/>
                <w:color w:val="2E75B5"/>
              </w:rPr>
              <w:t>电子成果要求：最终成果提供</w:t>
            </w:r>
            <w:r>
              <w:rPr>
                <w:rFonts w:ascii="仿宋_GB2312" w:hAnsi="仿宋_GB2312" w:cs="仿宋_GB2312" w:eastAsia="仿宋_GB2312"/>
                <w:sz w:val="20"/>
                <w:color w:val="2E75B5"/>
              </w:rPr>
              <w:t>U盘2个，U盘贴标签：注明项目名称、完成时间。电子成果与上述纸质成果相对应，文本文件采用word和pdf格式，数据库文件采用.gdb格式，体检成果线上展示及体检指标可视化应用证明材料采用.mp4格式。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right="90" w:firstLine="578"/>
              <w:jc w:val="left"/>
            </w:pPr>
            <w:r>
              <w:rPr>
                <w:rFonts w:ascii="仿宋_GB2312" w:hAnsi="仿宋_GB2312" w:cs="仿宋_GB2312" w:eastAsia="仿宋_GB2312"/>
                <w:sz w:val="20"/>
                <w:color w:val="2E75B5"/>
              </w:rPr>
              <w:t>服务要求</w:t>
            </w:r>
          </w:p>
          <w:p>
            <w:pPr>
              <w:pStyle w:val="null3"/>
              <w:ind w:right="90" w:firstLine="578"/>
              <w:jc w:val="left"/>
            </w:pPr>
            <w:r>
              <w:rPr>
                <w:rFonts w:ascii="仿宋_GB2312" w:hAnsi="仿宋_GB2312" w:cs="仿宋_GB2312" w:eastAsia="仿宋_GB2312"/>
                <w:sz w:val="20"/>
                <w:color w:val="2E75B5"/>
              </w:rPr>
              <w:t>(一)服务商须精心组建项目团队，确定项目负责人，并对项目团队的政治素质和业务素质负责。</w:t>
            </w:r>
          </w:p>
          <w:p>
            <w:pPr>
              <w:pStyle w:val="null3"/>
              <w:ind w:right="90" w:firstLine="578"/>
              <w:jc w:val="left"/>
            </w:pPr>
            <w:r>
              <w:rPr>
                <w:rFonts w:ascii="仿宋_GB2312" w:hAnsi="仿宋_GB2312" w:cs="仿宋_GB2312" w:eastAsia="仿宋_GB2312"/>
                <w:sz w:val="20"/>
                <w:color w:val="2E75B5"/>
              </w:rPr>
              <w:t>(二)项目组成员须有较强的组织和协调能力，具有较高的理论素养和分析解决问题的能力。</w:t>
            </w:r>
          </w:p>
          <w:p>
            <w:pPr>
              <w:pStyle w:val="null3"/>
              <w:ind w:right="90" w:firstLine="578"/>
              <w:jc w:val="left"/>
            </w:pPr>
            <w:r>
              <w:rPr>
                <w:rFonts w:ascii="仿宋_GB2312" w:hAnsi="仿宋_GB2312" w:cs="仿宋_GB2312" w:eastAsia="仿宋_GB2312"/>
                <w:sz w:val="20"/>
                <w:color w:val="2E75B5"/>
              </w:rPr>
              <w:t>(三)项目负责人必须是该项目实施全过程的真正组织者和指导者，并担负项目成果审查工作。挂名或不担负成果审查工作的，不得作为项目负责人。</w:t>
            </w:r>
          </w:p>
          <w:p>
            <w:pPr>
              <w:pStyle w:val="null3"/>
              <w:ind w:right="90" w:firstLine="578"/>
              <w:jc w:val="left"/>
            </w:pPr>
            <w:r>
              <w:rPr>
                <w:rFonts w:ascii="仿宋_GB2312" w:hAnsi="仿宋_GB2312" w:cs="仿宋_GB2312" w:eastAsia="仿宋_GB2312"/>
                <w:sz w:val="20"/>
                <w:color w:val="2E75B5"/>
              </w:rPr>
              <w:t>(四)项目团队成员应当熟悉西安市国土空间总体规划的相关内容，项目实施应紧贴上位政策要求。</w:t>
            </w:r>
          </w:p>
          <w:p>
            <w:pPr>
              <w:pStyle w:val="null3"/>
              <w:ind w:right="90" w:firstLine="578"/>
              <w:jc w:val="left"/>
            </w:pPr>
            <w:r>
              <w:rPr>
                <w:rFonts w:ascii="仿宋_GB2312" w:hAnsi="仿宋_GB2312" w:cs="仿宋_GB2312" w:eastAsia="仿宋_GB2312"/>
                <w:sz w:val="20"/>
                <w:color w:val="2E75B5"/>
              </w:rPr>
              <w:t>(五)项目团队成员及其主要成员履约过程中不得随意更换，确需调整时，须书面提请采购人同意。</w:t>
            </w:r>
          </w:p>
          <w:p>
            <w:pPr>
              <w:pStyle w:val="null3"/>
              <w:ind w:right="90" w:firstLine="578"/>
              <w:jc w:val="left"/>
            </w:pPr>
            <w:r>
              <w:rPr>
                <w:rFonts w:ascii="仿宋_GB2312" w:hAnsi="仿宋_GB2312" w:cs="仿宋_GB2312" w:eastAsia="仿宋_GB2312"/>
                <w:sz w:val="20"/>
                <w:color w:val="2E75B5"/>
              </w:rPr>
              <w:t>（六）项目团队需对项目全过程涉密资料及数据进行保密。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right="90" w:firstLine="578"/>
              <w:jc w:val="left"/>
            </w:pPr>
            <w:r>
              <w:rPr>
                <w:rFonts w:ascii="仿宋_GB2312" w:hAnsi="仿宋_GB2312" w:cs="仿宋_GB2312" w:eastAsia="仿宋_GB2312"/>
                <w:sz w:val="20"/>
                <w:color w:val="2E75B5"/>
              </w:rPr>
              <w:t>商务要求</w:t>
            </w:r>
          </w:p>
          <w:p>
            <w:pPr>
              <w:pStyle w:val="null3"/>
              <w:ind w:right="90" w:firstLine="578"/>
              <w:jc w:val="left"/>
            </w:pPr>
            <w:r>
              <w:rPr>
                <w:rFonts w:ascii="仿宋_GB2312" w:hAnsi="仿宋_GB2312" w:cs="仿宋_GB2312" w:eastAsia="仿宋_GB2312"/>
                <w:sz w:val="20"/>
                <w:color w:val="2E75B5"/>
              </w:rPr>
              <w:t>（</w:t>
            </w:r>
            <w:r>
              <w:rPr>
                <w:rFonts w:ascii="仿宋_GB2312" w:hAnsi="仿宋_GB2312" w:cs="仿宋_GB2312" w:eastAsia="仿宋_GB2312"/>
                <w:sz w:val="20"/>
                <w:color w:val="2E75B5"/>
              </w:rPr>
              <w:t>一</w:t>
            </w:r>
            <w:r>
              <w:rPr>
                <w:rFonts w:ascii="仿宋_GB2312" w:hAnsi="仿宋_GB2312" w:cs="仿宋_GB2312" w:eastAsia="仿宋_GB2312"/>
                <w:sz w:val="20"/>
                <w:color w:val="2E75B5"/>
              </w:rPr>
              <w:t>）</w:t>
            </w:r>
            <w:r>
              <w:rPr>
                <w:rFonts w:ascii="仿宋_GB2312" w:hAnsi="仿宋_GB2312" w:cs="仿宋_GB2312" w:eastAsia="仿宋_GB2312"/>
                <w:sz w:val="20"/>
                <w:color w:val="2E75B5"/>
              </w:rPr>
              <w:t>服务期限</w:t>
            </w:r>
            <w:r>
              <w:rPr>
                <w:rFonts w:ascii="仿宋_GB2312" w:hAnsi="仿宋_GB2312" w:cs="仿宋_GB2312" w:eastAsia="仿宋_GB2312"/>
                <w:sz w:val="20"/>
                <w:color w:val="2E75B5"/>
              </w:rPr>
              <w:t>：</w:t>
            </w:r>
            <w:r>
              <w:rPr>
                <w:rFonts w:ascii="仿宋_GB2312" w:hAnsi="仿宋_GB2312" w:cs="仿宋_GB2312" w:eastAsia="仿宋_GB2312"/>
                <w:sz w:val="20"/>
                <w:color w:val="2E75B5"/>
              </w:rPr>
              <w:t>自合同签订之日起至</w:t>
            </w:r>
            <w:r>
              <w:rPr>
                <w:rFonts w:ascii="仿宋_GB2312" w:hAnsi="仿宋_GB2312" w:cs="仿宋_GB2312" w:eastAsia="仿宋_GB2312"/>
                <w:sz w:val="20"/>
                <w:color w:val="2E75B5"/>
              </w:rPr>
              <w:t>2026年12月31日止。（</w:t>
            </w:r>
            <w:r>
              <w:rPr>
                <w:rFonts w:ascii="仿宋_GB2312" w:hAnsi="仿宋_GB2312" w:cs="仿宋_GB2312" w:eastAsia="仿宋_GB2312"/>
                <w:sz w:val="20"/>
                <w:color w:val="2E75B5"/>
              </w:rPr>
              <w:t>具体服务起止日期可随合同签订时间相应顺延）。</w:t>
            </w:r>
          </w:p>
          <w:p>
            <w:pPr>
              <w:pStyle w:val="null3"/>
              <w:ind w:right="90" w:firstLine="578"/>
              <w:jc w:val="left"/>
            </w:pPr>
            <w:r>
              <w:rPr>
                <w:rFonts w:ascii="仿宋_GB2312" w:hAnsi="仿宋_GB2312" w:cs="仿宋_GB2312" w:eastAsia="仿宋_GB2312"/>
                <w:sz w:val="20"/>
                <w:color w:val="2E75B5"/>
              </w:rPr>
              <w:t>（</w:t>
            </w:r>
            <w:r>
              <w:rPr>
                <w:rFonts w:ascii="仿宋_GB2312" w:hAnsi="仿宋_GB2312" w:cs="仿宋_GB2312" w:eastAsia="仿宋_GB2312"/>
                <w:sz w:val="20"/>
                <w:color w:val="2E75B5"/>
              </w:rPr>
              <w:t>二</w:t>
            </w:r>
            <w:r>
              <w:rPr>
                <w:rFonts w:ascii="仿宋_GB2312" w:hAnsi="仿宋_GB2312" w:cs="仿宋_GB2312" w:eastAsia="仿宋_GB2312"/>
                <w:sz w:val="20"/>
                <w:color w:val="2E75B5"/>
              </w:rPr>
              <w:t>）</w:t>
            </w:r>
            <w:r>
              <w:rPr>
                <w:rFonts w:ascii="仿宋_GB2312" w:hAnsi="仿宋_GB2312" w:cs="仿宋_GB2312" w:eastAsia="仿宋_GB2312"/>
                <w:sz w:val="20"/>
                <w:color w:val="2E75B5"/>
              </w:rPr>
              <w:t>款项结算</w:t>
            </w:r>
          </w:p>
          <w:p>
            <w:pPr>
              <w:pStyle w:val="null3"/>
              <w:ind w:right="90" w:firstLine="578"/>
              <w:jc w:val="left"/>
            </w:pPr>
            <w:r>
              <w:rPr>
                <w:rFonts w:ascii="仿宋_GB2312" w:hAnsi="仿宋_GB2312" w:cs="仿宋_GB2312" w:eastAsia="仿宋_GB2312"/>
                <w:sz w:val="20"/>
                <w:color w:val="2E75B5"/>
              </w:rPr>
              <w:t>1.本项目拟采用政府采购的方式进行；</w:t>
            </w:r>
          </w:p>
          <w:p>
            <w:pPr>
              <w:pStyle w:val="null3"/>
              <w:ind w:right="90" w:firstLine="578"/>
              <w:jc w:val="left"/>
            </w:pPr>
            <w:r>
              <w:rPr>
                <w:rFonts w:ascii="仿宋_GB2312" w:hAnsi="仿宋_GB2312" w:cs="仿宋_GB2312" w:eastAsia="仿宋_GB2312"/>
                <w:sz w:val="20"/>
                <w:color w:val="2E75B5"/>
              </w:rPr>
              <w:t>2.合同总价一次性包死，不受市场价格变化和税率变化等因素的影响。</w:t>
            </w:r>
          </w:p>
          <w:p>
            <w:pPr>
              <w:pStyle w:val="null3"/>
              <w:ind w:right="90" w:firstLine="578"/>
              <w:jc w:val="left"/>
            </w:pPr>
            <w:r>
              <w:rPr>
                <w:rFonts w:ascii="仿宋_GB2312" w:hAnsi="仿宋_GB2312" w:cs="仿宋_GB2312" w:eastAsia="仿宋_GB2312"/>
                <w:sz w:val="20"/>
                <w:color w:val="2E75B5"/>
              </w:rPr>
              <w:t>3.付款比例：</w:t>
            </w:r>
          </w:p>
          <w:p>
            <w:pPr>
              <w:pStyle w:val="null3"/>
              <w:ind w:right="90" w:firstLine="578"/>
              <w:jc w:val="left"/>
            </w:pPr>
            <w:r>
              <w:rPr>
                <w:rFonts w:ascii="仿宋_GB2312" w:hAnsi="仿宋_GB2312" w:cs="仿宋_GB2312" w:eastAsia="仿宋_GB2312"/>
                <w:sz w:val="20"/>
                <w:color w:val="2E75B5"/>
              </w:rPr>
              <w:t>3.1 合同</w:t>
            </w:r>
            <w:r>
              <w:rPr>
                <w:rFonts w:ascii="仿宋_GB2312" w:hAnsi="仿宋_GB2312" w:cs="仿宋_GB2312" w:eastAsia="仿宋_GB2312"/>
                <w:sz w:val="20"/>
                <w:color w:val="2E75B5"/>
              </w:rPr>
              <w:t>签订后</w:t>
            </w:r>
            <w:r>
              <w:rPr>
                <w:rFonts w:ascii="仿宋_GB2312" w:hAnsi="仿宋_GB2312" w:cs="仿宋_GB2312" w:eastAsia="仿宋_GB2312"/>
                <w:sz w:val="20"/>
                <w:color w:val="2E75B5"/>
              </w:rPr>
              <w:t>10个工作日内，甲方向乙方支付合同总价款的30%；</w:t>
            </w:r>
          </w:p>
          <w:p>
            <w:pPr>
              <w:pStyle w:val="null3"/>
              <w:ind w:right="90" w:firstLine="578"/>
              <w:jc w:val="left"/>
            </w:pPr>
            <w:r>
              <w:rPr>
                <w:rFonts w:ascii="仿宋_GB2312" w:hAnsi="仿宋_GB2312" w:cs="仿宋_GB2312" w:eastAsia="仿宋_GB2312"/>
                <w:sz w:val="20"/>
                <w:color w:val="2E75B5"/>
              </w:rPr>
              <w:t>3.2 项目成果通过专家评审后10个工作日内,甲方向</w:t>
            </w:r>
            <w:r>
              <w:rPr>
                <w:rFonts w:ascii="仿宋_GB2312" w:hAnsi="仿宋_GB2312" w:cs="仿宋_GB2312" w:eastAsia="仿宋_GB2312"/>
                <w:sz w:val="20"/>
                <w:color w:val="2E75B5"/>
              </w:rPr>
              <w:t>乙方支付合同总价款的</w:t>
            </w:r>
            <w:r>
              <w:rPr>
                <w:rFonts w:ascii="仿宋_GB2312" w:hAnsi="仿宋_GB2312" w:cs="仿宋_GB2312" w:eastAsia="仿宋_GB2312"/>
                <w:sz w:val="20"/>
                <w:color w:val="2E75B5"/>
              </w:rPr>
              <w:t>40%；</w:t>
            </w:r>
          </w:p>
          <w:p>
            <w:pPr>
              <w:pStyle w:val="null3"/>
              <w:ind w:right="90" w:firstLine="578"/>
              <w:jc w:val="left"/>
            </w:pPr>
            <w:r>
              <w:rPr>
                <w:rFonts w:ascii="仿宋_GB2312" w:hAnsi="仿宋_GB2312" w:cs="仿宋_GB2312" w:eastAsia="仿宋_GB2312"/>
                <w:sz w:val="20"/>
                <w:color w:val="2E75B5"/>
              </w:rPr>
              <w:t>3.3 项目成果经市自然资源和规划局验收后，支付剩余款项</w:t>
            </w:r>
            <w:r>
              <w:rPr>
                <w:rFonts w:ascii="仿宋_GB2312" w:hAnsi="仿宋_GB2312" w:cs="仿宋_GB2312" w:eastAsia="仿宋_GB2312"/>
                <w:sz w:val="20"/>
                <w:color w:val="2E75B5"/>
              </w:rPr>
              <w:t>。</w:t>
            </w:r>
          </w:p>
          <w:p>
            <w:pPr>
              <w:pStyle w:val="null3"/>
              <w:ind w:firstLine="400"/>
              <w:jc w:val="both"/>
            </w:pPr>
            <w:r>
              <w:rPr>
                <w:rFonts w:ascii="仿宋_GB2312" w:hAnsi="仿宋_GB2312" w:cs="仿宋_GB2312" w:eastAsia="仿宋_GB2312"/>
                <w:sz w:val="20"/>
                <w:color w:val="2E75B5"/>
              </w:rPr>
              <w:t>4. 支付比例及金额以最终政府采购服务合同约定为准。</w:t>
            </w:r>
          </w:p>
          <w:p>
            <w:pPr>
              <w:pStyle w:val="null3"/>
              <w:ind w:firstLine="400"/>
              <w:jc w:val="both"/>
            </w:pPr>
            <w:r>
              <w:rPr>
                <w:rFonts w:ascii="仿宋_GB2312" w:hAnsi="仿宋_GB2312" w:cs="仿宋_GB2312" w:eastAsia="仿宋_GB2312"/>
                <w:sz w:val="20"/>
                <w:color w:val="2E75B5"/>
              </w:rPr>
              <w:t>由于本项目为政府委托项目，项目资金需根据政府统一安排，由此本合同内所定的各次付款时间应根据财政局拨付资金的时间相应顺延或调整。</w:t>
            </w:r>
          </w:p>
          <w:p>
            <w:pPr>
              <w:pStyle w:val="null3"/>
              <w:ind w:left="420"/>
            </w:pPr>
            <w:r>
              <w:rPr>
                <w:rFonts w:ascii="仿宋_GB2312" w:hAnsi="仿宋_GB2312" w:cs="仿宋_GB2312" w:eastAsia="仿宋_GB2312"/>
                <w:sz w:val="20"/>
                <w:color w:val="2E75B5"/>
              </w:rPr>
              <w:t>5. 结算方式：银行转账。</w:t>
            </w:r>
          </w:p>
          <w:p>
            <w:pPr>
              <w:pStyle w:val="null3"/>
              <w:ind w:firstLine="400"/>
              <w:jc w:val="both"/>
            </w:pPr>
            <w:r>
              <w:rPr>
                <w:rFonts w:ascii="仿宋_GB2312" w:hAnsi="仿宋_GB2312" w:cs="仿宋_GB2312" w:eastAsia="仿宋_GB2312"/>
                <w:sz w:val="20"/>
                <w:color w:val="2E75B5"/>
              </w:rPr>
              <w:t>乙方应确保所指定账户为唯一收款账户，确保该账户的稳定性与准确性，乙方变更收款账户信息的，应当提前</w:t>
            </w:r>
            <w:r>
              <w:rPr>
                <w:rFonts w:ascii="仿宋_GB2312" w:hAnsi="仿宋_GB2312" w:cs="仿宋_GB2312" w:eastAsia="仿宋_GB2312"/>
                <w:sz w:val="20"/>
                <w:color w:val="2E75B5"/>
              </w:rPr>
              <w:t>10个工作日书面告知甲方。如因乙方提供账户信息不准确、不真实，或变动账户后不及时告知甲方，导致甲方付款错误或失败的，甲方不承担逾期付款责任，由乙方承担一切损失赔偿责任。</w:t>
            </w:r>
          </w:p>
          <w:p>
            <w:pPr>
              <w:pStyle w:val="null3"/>
              <w:ind w:firstLine="480"/>
            </w:pPr>
            <w:r>
              <w:rPr>
                <w:rFonts w:ascii="仿宋_GB2312" w:hAnsi="仿宋_GB2312" w:cs="仿宋_GB2312" w:eastAsia="仿宋_GB2312"/>
                <w:sz w:val="20"/>
                <w:color w:val="2E75B5"/>
              </w:rPr>
              <w:t>6、结算单位：由甲方负责结算，甲方付款前，乙方应当开具正式等额合法、合规且符合甲方要求的等额增值税发票，乙方不提供或提供不符合要求的，甲方有权拒绝支付，且不承担因此导致的逾期付款违约责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right="165" w:firstLine="400"/>
              <w:jc w:val="left"/>
            </w:pPr>
            <w:r>
              <w:rPr>
                <w:rFonts w:ascii="仿宋_GB2312" w:hAnsi="仿宋_GB2312" w:cs="仿宋_GB2312" w:eastAsia="仿宋_GB2312"/>
                <w:sz w:val="20"/>
                <w:color w:val="2E75B5"/>
              </w:rPr>
              <w:t>其他</w:t>
            </w:r>
          </w:p>
          <w:p>
            <w:pPr>
              <w:pStyle w:val="null3"/>
              <w:ind w:right="165" w:firstLine="400"/>
              <w:jc w:val="left"/>
            </w:pPr>
            <w:r>
              <w:rPr>
                <w:rFonts w:ascii="仿宋_GB2312" w:hAnsi="仿宋_GB2312" w:cs="仿宋_GB2312" w:eastAsia="仿宋_GB2312"/>
                <w:sz w:val="20"/>
                <w:color w:val="2E75B5"/>
              </w:rPr>
              <w:t>（一</w:t>
            </w:r>
            <w:r>
              <w:rPr>
                <w:rFonts w:ascii="仿宋_GB2312" w:hAnsi="仿宋_GB2312" w:cs="仿宋_GB2312" w:eastAsia="仿宋_GB2312"/>
                <w:sz w:val="20"/>
                <w:color w:val="2E75B5"/>
              </w:rPr>
              <w:t>)符合《中华人民共和国政府采购法》第二十二条、第二十三条、第二十四条规定；</w:t>
            </w:r>
          </w:p>
          <w:p>
            <w:pPr>
              <w:pStyle w:val="null3"/>
              <w:ind w:right="165" w:firstLine="400"/>
              <w:jc w:val="left"/>
            </w:pPr>
            <w:r>
              <w:rPr>
                <w:rFonts w:ascii="仿宋_GB2312" w:hAnsi="仿宋_GB2312" w:cs="仿宋_GB2312" w:eastAsia="仿宋_GB2312"/>
                <w:sz w:val="20"/>
                <w:color w:val="2E75B5"/>
              </w:rPr>
              <w:t>(二)</w:t>
            </w:r>
            <w:r>
              <w:rPr>
                <w:rFonts w:ascii="仿宋_GB2312" w:hAnsi="仿宋_GB2312" w:cs="仿宋_GB2312" w:eastAsia="仿宋_GB2312"/>
                <w:sz w:val="20"/>
                <w:color w:val="2E75B5"/>
              </w:rPr>
              <w:t>项目接受联合体。</w:t>
            </w:r>
          </w:p>
          <w:p>
            <w:pPr>
              <w:pStyle w:val="null3"/>
              <w:ind w:right="165" w:firstLine="400"/>
              <w:jc w:val="left"/>
            </w:pPr>
            <w:r>
              <w:rPr>
                <w:rFonts w:ascii="仿宋_GB2312" w:hAnsi="仿宋_GB2312" w:cs="仿宋_GB2312" w:eastAsia="仿宋_GB2312"/>
                <w:sz w:val="20"/>
                <w:color w:val="2E75B5"/>
              </w:rPr>
              <w:t>(三)技术服务单位需配合完成采购人安排的与本项目有关的其他事项。</w:t>
            </w:r>
          </w:p>
          <w:p>
            <w:pPr>
              <w:pStyle w:val="null3"/>
              <w:ind w:right="165" w:firstLine="400"/>
              <w:jc w:val="left"/>
            </w:pPr>
            <w:r>
              <w:rPr>
                <w:rFonts w:ascii="仿宋_GB2312" w:hAnsi="仿宋_GB2312" w:cs="仿宋_GB2312" w:eastAsia="仿宋_GB2312"/>
                <w:sz w:val="20"/>
                <w:color w:val="2E75B5"/>
              </w:rPr>
              <w:t>(四)进度要求</w:t>
            </w:r>
          </w:p>
          <w:p>
            <w:pPr>
              <w:pStyle w:val="null3"/>
              <w:ind w:right="165" w:firstLine="480"/>
              <w:jc w:val="left"/>
            </w:pPr>
            <w:r>
              <w:rPr>
                <w:rFonts w:ascii="仿宋_GB2312" w:hAnsi="仿宋_GB2312" w:cs="仿宋_GB2312" w:eastAsia="仿宋_GB2312"/>
                <w:sz w:val="20"/>
                <w:color w:val="2E75B5"/>
              </w:rPr>
              <w:t>2026年6月前，完成评估报告，并通过专家评审。</w:t>
            </w:r>
          </w:p>
          <w:p>
            <w:pPr>
              <w:pStyle w:val="null3"/>
              <w:ind w:right="165" w:firstLine="480"/>
              <w:jc w:val="left"/>
            </w:pPr>
            <w:r>
              <w:rPr>
                <w:rFonts w:ascii="仿宋_GB2312" w:hAnsi="仿宋_GB2312" w:cs="仿宋_GB2312" w:eastAsia="仿宋_GB2312"/>
                <w:sz w:val="20"/>
                <w:color w:val="2E75B5"/>
              </w:rPr>
              <w:t>2026年12月前，完善评估报告，并通过主管部门验收。</w:t>
            </w:r>
          </w:p>
          <w:p>
            <w:pPr>
              <w:pStyle w:val="null3"/>
              <w:ind w:right="165" w:firstLine="480"/>
              <w:jc w:val="left"/>
            </w:pPr>
            <w:r>
              <w:rPr>
                <w:rFonts w:ascii="仿宋_GB2312" w:hAnsi="仿宋_GB2312" w:cs="仿宋_GB2312" w:eastAsia="仿宋_GB2312"/>
                <w:sz w:val="20"/>
                <w:color w:val="2E75B5"/>
              </w:rPr>
              <w:t>1.合同签订15个工作日内形成工作方案。</w:t>
            </w:r>
          </w:p>
          <w:p>
            <w:pPr>
              <w:pStyle w:val="null3"/>
              <w:ind w:right="165" w:firstLine="480"/>
              <w:jc w:val="left"/>
            </w:pPr>
            <w:r>
              <w:rPr>
                <w:rFonts w:ascii="仿宋_GB2312" w:hAnsi="仿宋_GB2312" w:cs="仿宋_GB2312" w:eastAsia="仿宋_GB2312"/>
                <w:sz w:val="20"/>
                <w:color w:val="2E75B5"/>
              </w:rPr>
              <w:t>2.合同签订3个月内形成初步成果。</w:t>
            </w:r>
          </w:p>
          <w:p>
            <w:pPr>
              <w:pStyle w:val="null3"/>
              <w:ind w:right="165" w:firstLine="480"/>
              <w:jc w:val="left"/>
            </w:pPr>
            <w:r>
              <w:rPr>
                <w:rFonts w:ascii="仿宋_GB2312" w:hAnsi="仿宋_GB2312" w:cs="仿宋_GB2312" w:eastAsia="仿宋_GB2312"/>
                <w:sz w:val="20"/>
                <w:color w:val="2E75B5"/>
              </w:rPr>
              <w:t>3.合同签订12个月内形成最终成果。</w:t>
            </w:r>
          </w:p>
          <w:p>
            <w:pPr>
              <w:pStyle w:val="null3"/>
              <w:ind w:right="165" w:firstLine="480"/>
              <w:jc w:val="left"/>
            </w:pPr>
            <w:r>
              <w:rPr>
                <w:rFonts w:ascii="仿宋_GB2312" w:hAnsi="仿宋_GB2312" w:cs="仿宋_GB2312" w:eastAsia="仿宋_GB2312"/>
                <w:sz w:val="20"/>
                <w:color w:val="2E75B5"/>
              </w:rPr>
              <w:t>4.技术服务单位应定期(周、月)向采购人提供项目工作进度。</w:t>
            </w:r>
          </w:p>
          <w:p>
            <w:pPr>
              <w:pStyle w:val="null3"/>
              <w:ind w:right="165" w:firstLine="480"/>
              <w:jc w:val="left"/>
            </w:pPr>
            <w:r>
              <w:rPr>
                <w:rFonts w:ascii="仿宋_GB2312" w:hAnsi="仿宋_GB2312" w:cs="仿宋_GB2312" w:eastAsia="仿宋_GB2312"/>
                <w:sz w:val="20"/>
                <w:color w:val="2E75B5"/>
              </w:rPr>
              <w:t>5.采购人根据实际需要，对项目进展情况不定期听取汇报。</w:t>
            </w:r>
          </w:p>
          <w:p>
            <w:pPr>
              <w:pStyle w:val="null3"/>
              <w:ind w:right="165" w:firstLine="480"/>
              <w:jc w:val="left"/>
            </w:pPr>
            <w:r>
              <w:rPr>
                <w:rFonts w:ascii="仿宋_GB2312" w:hAnsi="仿宋_GB2312" w:cs="仿宋_GB2312" w:eastAsia="仿宋_GB2312"/>
                <w:sz w:val="20"/>
                <w:color w:val="2E75B5"/>
              </w:rPr>
              <w:t>6.受不可抗力(规划编制完成时间延后、提前；上位要求变化等)因素影响，采购人可适当调整进度要求。</w:t>
            </w:r>
          </w:p>
          <w:p>
            <w:pPr>
              <w:pStyle w:val="null3"/>
              <w:ind w:right="165" w:firstLine="400"/>
              <w:jc w:val="left"/>
            </w:pPr>
            <w:r>
              <w:rPr>
                <w:rFonts w:ascii="仿宋_GB2312" w:hAnsi="仿宋_GB2312" w:cs="仿宋_GB2312" w:eastAsia="仿宋_GB2312"/>
                <w:sz w:val="20"/>
                <w:color w:val="2E75B5"/>
              </w:rPr>
              <w:t>(五)质量验收标准或规范</w:t>
            </w:r>
          </w:p>
          <w:p>
            <w:pPr>
              <w:pStyle w:val="null3"/>
            </w:pPr>
            <w:r>
              <w:rPr>
                <w:rFonts w:ascii="仿宋_GB2312" w:hAnsi="仿宋_GB2312" w:cs="仿宋_GB2312" w:eastAsia="仿宋_GB2312"/>
                <w:sz w:val="20"/>
                <w:color w:val="2E75B5"/>
              </w:rPr>
              <w:t xml:space="preserve">          成果质量符合自然资源部、陕西省自然资源厅、西安市自然资源和规划局、西安市住房和城乡建设局的相关要求，并通过采购人组织的验收会。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服务期限：自合同签订之日起至2026年12月31日止。（具体服务起止日期可随合同签订时间相应顺延）。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1.自甲方确认收到最终工作成果之日起三个工作日内，乙方向甲方提出验收申请，甲方接到乙方验收申请后组织验收（必要时可聘请相应专家或委托相应部门验收）。 甲方经验收后认为不符合甲方要求或者未达到质量标准的，甲方有权拒收，并3日内书面要求乙方补救、改正，乙方应无条件及时履行，相关费用乙方自行承担。 2.最终验收：最终验收结果作为付款依据，甲方向乙方出具验收单，乙方持此验收单同甲方进行结算。乙方向甲方提交实施过程中的所有资料，便于甲方日后管理。 3.验收依据（包括但不限于）： 招标文件、投标文件、合同文本、合同附件。国内相应的标准、规范。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项目成果通过专家评审后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项目成果经市自然资源和规划局验收后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违约责任：1、合同生效后，甲方要求终止或解除合同，乙方已开始设计工作的，甲方应根据乙方已进行的实际工作量支付相应费用。 2、合同生效后，非因甲方原因且无任何其他合理理由乙方要求终止或解除合同的，乙方应双倍返还已经支付的费用。因此给甲方造成的损失（包括但不限于直接损失、间接损失、律师费、诉讼费、保全费等），乙方还应及时、完整的赔偿。 3、甲方应按本合同第五条规定的金额和时间向乙方支付成果费，无正当理由，超过规定支付时间15个工作日后，每逾期支付一天，应向乙方偿付当期应支付费用的0.5‰作为逾期违约金，最高不得超过当期应支付费用的5%。 4、乙方应按照合同第二条规定进度向甲方提交编制成果，并按照甲方合理要求保障编制进度，每延期一日，甲方有权扣减本合同约定的合同总价款0.5‰作为违约金。延期超过15日，甲方有权单方解除协议，不再支付合同款项，乙方应当按照本合同价款总额的20%支付违约金给甲方。因此给甲方造成损失的，乙方还应当及时、足额地赔偿甲方的全部损失（包括但不限于直接损失、可预期利益、律师费、诉讼费等）。 5、甲方无正当理由变更委托项目、规模、条件，或因提交的资料错误，或所提供资料作重大修改，或因相关主管部门要求而作重大修改，造成乙方需返工时，甲方应按向乙方支付返工费，返工费具体金额经双方核算确认，并在乙方返工工作开始前完成支付。 6、设计质量：合同履行过程中，乙方违反本协议约定或者不适当履行本协议的，甲方有权单方面解除本合同，乙方应当按照本合同价款总额的20%支付违约金给甲方，由此给甲方造成的损失（包括但不限于直接损失、间接损失、律师费、诉讼费、保全费等），乙方还应及时、完整的赔偿。若甲方选择继续履行的，合同应当继续履行，乙方应当按照前述约定继续承担违约责任。 7、因乙方责任造成工作重大返工或重作的，乙方应当在甲方确定的期限内采取补救措施且不免除逾期责任，直到达到质量要求，且不得另行收费。因此给甲方造成的损失（包括但不限于直接损失、间接损失、律师费、诉讼费、保全费等），乙方还应及时、完整的赔偿。 解决争议的方法： 1、合同及其附件发生的或与本合同及其附件有关的一切争议，双方应在友好协商的基础上予以解决。 2、经友好协商仍不能达成解决措施的，甲乙任何一方有权将争议提交项目所在地人民法院起诉。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1、本项目采购内容“西安市“多检合一”体检评估工作（2024年度）”项目，标的物所属行业划分为：其他未列明行业。 2、投标人需要在线提交所有通过电子化交易平台实施的政府采购项目的投标文件，中标人在中标结果公示后线下递交纸质投标文件正本壹份、副本壹份，投标文件的电子版壹份（U盘存储）。递交文件地点：陕西省西安市曲江新区旺座曲江B座3105。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供应商须具有城乡规划编制甲级资质。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拟派项目负责人具有注册城乡规划师及规划相关专业正高级职称证书。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直接参加投标的，须出具法人身份证，并与营业执照上信息一致。法定代表人授权代表参加投标的，须出具法定代表人授权书及授权代表身份证、授权代表在本单位证明（开标前三个月内任意一个月的个人养老保险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本项目接受联合体投标。投标人提供联合体协议。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对项目的理解及分析</w:t>
            </w:r>
          </w:p>
        </w:tc>
        <w:tc>
          <w:tcPr>
            <w:tcW w:type="dxa" w:w="2492"/>
          </w:tcPr>
          <w:p>
            <w:pPr>
              <w:pStyle w:val="null3"/>
            </w:pPr>
            <w:r>
              <w:rPr>
                <w:rFonts w:ascii="仿宋_GB2312" w:hAnsi="仿宋_GB2312" w:cs="仿宋_GB2312" w:eastAsia="仿宋_GB2312"/>
              </w:rPr>
              <w:t>从对本项目的要求理解程度和针对本项目的：1、工作思路和方向；2、对项目实施背景和现状；3、相关标准及规范；4、采购需求进行充分了解，结合招标需求，能够对本项目业务流程、实施流程、重难点、当前节点实施计划建议与满足情况及常见问题进行充分透彻的分析方面进行赋分： 1、分析理解准确、全面、透彻，对本项目工作的顺利开展有指导性意义得10分； 2、分析理解基本准确且全面，对本项目开展有针对性的指导意义得8分； 3、分析理解较准确，具有一定的可行性，基本满足招标文件要求得6分； 4、分析理解基本准确，基本满足招标文件要求，但分析不够深入透彻得4分； 5、分析理解描述内容模糊，可行性差，得2分； 6、分析理解不全面或偏离本项目需求或者未提供相关内容不得分。 说明：全面是指符合本项目要求4项全部内容，缺项是指内容没有结合项目实际需求、虽有内容但不完善、不全面、内容表述前后不一致、套用其他项目方案或与项目需求不匹配及其他不利于项目实施的等任意一种情形。上述4项评审内容全部满足评审标准得10分，每有一个评审内容缺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1、方案内容完整详实、技术路线和方法清晰、全面，针对性强、可操作性强、可行性强的，得10分； 2、方案内容基本完整详实、技术路线和方法基本清晰、全面，针对性、可操作性、可行性一般的，得8分； 3、方案完整可行，具有可操作性得6分； 4、方案内容简单、技术路线和方法不太清晰、不太全面，针对性及可操作性一般得4分。 5、方案有欠缺，方案只是简单的复制采购人的服务要求的得2分； 6、未提供相关内容不得分。 说明：全面是指符合本项目要求全部内容，缺项或欠缺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本项目相关工作衔接方案</w:t>
            </w:r>
          </w:p>
        </w:tc>
        <w:tc>
          <w:tcPr>
            <w:tcW w:type="dxa" w:w="2492"/>
          </w:tcPr>
          <w:p>
            <w:pPr>
              <w:pStyle w:val="null3"/>
            </w:pPr>
            <w:r>
              <w:rPr>
                <w:rFonts w:ascii="仿宋_GB2312" w:hAnsi="仿宋_GB2312" w:cs="仿宋_GB2312" w:eastAsia="仿宋_GB2312"/>
              </w:rPr>
              <w:t>对本项目与重点片区、城市更新等相关工作衔接的分析： 1、分析深刻透彻，条理清晰的，得5分； 2、分析基本合理、内容简单，条理不够清晰的，得2分； 3、分析片面，条理简单的，得1分； 4、未提供相关内容不得分。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评估方案编制</w:t>
            </w:r>
          </w:p>
        </w:tc>
        <w:tc>
          <w:tcPr>
            <w:tcW w:type="dxa" w:w="2492"/>
          </w:tcPr>
          <w:p>
            <w:pPr>
              <w:pStyle w:val="null3"/>
            </w:pPr>
            <w:r>
              <w:rPr>
                <w:rFonts w:ascii="仿宋_GB2312" w:hAnsi="仿宋_GB2312" w:cs="仿宋_GB2312" w:eastAsia="仿宋_GB2312"/>
              </w:rPr>
              <w:t>1、评估方案内容详实，指标体系构建完整，空间尺度考虑全面，数据底座扎实，对现状理解透彻，对存在问题总结精辟准确，提出的建议与策略合理性、针对性和操作性强，可以有效指导下一步规划实施得20分； 2、评估方案内容较为详实，指标体系构建基本完整，空间尺度考虑较为全面，数据底座较为扎实，对现状理解较为透彻，对存在问题总结较为精辟准确，提出的建议与策略合理性、针对性和操作性较强，可以为下一步规划实施提供可行的实施路径得16分； 3、评估方案内容尚可，指标体系实现重构，空间尺度考虑基本全面，数据底座基本扎实，对现状理解一般透彻，对存在问题总结较为精辟准确，提出了对应的建议与策略，总结出对应的规划实施路径得12分； 4、评估方案内容有缺失，指标体系未构建，空间尺度欠考虑，数据基础不扎实，对现状理解不透彻，对存在问题总结不足，未提出有效的对应建议与策略得8分； 5、有评估方案，内容较为简单，未总结存在问题，未提出有效的对应建议与策略得4分。 6、有评估方案，内容过于简单，可行性较差得2分； 7、评估方案内容不完整且有严重缺陷，数据不实或未提供相关内容不得分。 说明：全面是指符合本项目要求全部内容，缺陷或欠缺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1、提供项目进度安排计划，合理且可行性强，能保证按时按量完成本项目服务工作得5分； 2、有承诺若出现团队服务人员因不可抗因素不能工作的，及时增派或调用其他工作人员补充的预案，确保本项目服务工作的正常进行的得3分； 3、有项目进度安排计划，但可行性差得1分； 4、未提供相关内容不得分。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组织管理措施</w:t>
            </w:r>
          </w:p>
        </w:tc>
        <w:tc>
          <w:tcPr>
            <w:tcW w:type="dxa" w:w="2492"/>
          </w:tcPr>
          <w:p>
            <w:pPr>
              <w:pStyle w:val="null3"/>
            </w:pPr>
            <w:r>
              <w:rPr>
                <w:rFonts w:ascii="仿宋_GB2312" w:hAnsi="仿宋_GB2312" w:cs="仿宋_GB2312" w:eastAsia="仿宋_GB2312"/>
              </w:rPr>
              <w:t>1、措施全面、明确，条理清晰，科学合理、可行性强得5分； 2、措施全面，具备可操作性得3分； 3、措施描述较为含糊，合理性差，得1分。 4、未提供相关内容不得分。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工作重、难点分析及解决建议</w:t>
            </w:r>
          </w:p>
        </w:tc>
        <w:tc>
          <w:tcPr>
            <w:tcW w:type="dxa" w:w="2492"/>
          </w:tcPr>
          <w:p>
            <w:pPr>
              <w:pStyle w:val="null3"/>
            </w:pPr>
            <w:r>
              <w:rPr>
                <w:rFonts w:ascii="仿宋_GB2312" w:hAnsi="仿宋_GB2312" w:cs="仿宋_GB2312" w:eastAsia="仿宋_GB2312"/>
              </w:rPr>
              <w:t>1.对重点、难点分析准确，解决方案针对性强的得10分； 2.对重点、难点分析较准确、提出的解决方案有一定的针对性和可行性的得7分； 3.对重点、难点分析基本准确，解决方案有一定的针对性和可行性的得5分； 4.对重点、难点分析与项目实际情况存在偏离，部分解决方案可行和合理的得2分； 5、未提供相关内容不得分。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荣誉奖项</w:t>
            </w:r>
          </w:p>
        </w:tc>
        <w:tc>
          <w:tcPr>
            <w:tcW w:type="dxa" w:w="2492"/>
          </w:tcPr>
          <w:p>
            <w:pPr>
              <w:pStyle w:val="null3"/>
            </w:pPr>
            <w:r>
              <w:rPr>
                <w:rFonts w:ascii="仿宋_GB2312" w:hAnsi="仿宋_GB2312" w:cs="仿宋_GB2312" w:eastAsia="仿宋_GB2312"/>
              </w:rPr>
              <w:t>自2022年1月1日以来，供应商获得过省级及以上的城乡规划类奖或国土空间规划类奖的。 每提供一个奖项得1分，最多得5分。 以提供的奖项证书复印件加盖公章为准，有效期以获奖文件或获奖证书日期为准，发证、发文时间不一致的，以发文的时间为准。未提供或未按要求提供的均不得分。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1、拟派项目组成员（不含项目经理）具有国家注册城乡规划师资格的，每提供一个得1分，最高得3分；未提供不得分。 2、拟派项目组成员（不含项目经理）具有规划相关专业高级职称的，每提供一个得1分，最高得4分；未提供不得分。 3、拟派项目组成员的专业（以毕业证书或学信网证明资料为准）涵盖城市规划、城乡规划、信息技术、测绘工程、地理信息系统等相关专业，每涵盖上述一个专业得1 分，最高得3 分；未提供不得分。 注：（以上人员提供人员注册证书、职称证书、在本单位开标前2025年任意一个月社保缴纳证明、学历证书复印件加盖供应商公章。不提供或证明文件提供不齐全不得分。项目组成员不重复计分）。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按采购需求提供完整、详细的服务承诺及措施，包括但不限于用户现场服务响应时间、问题解决时间、人员培训方案等内容。 1.服务承诺内容详细、齐全，承诺2小时内响应、4小时内解决问题得5分； 2.售后承诺方案内容较详细、基本齐全，承诺5小时内响应、8小时内解决问题得3分； 3.承诺内容有欠缺、需要改进后可实施的，承诺8小时内响应、24小时内解决问题得2分； 服务承诺简单复制采购人招标要求，未做明确响应措施的或未提供相关内容不得分。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供应商提供2022年1月至今的类似项目业绩（类似是专指包括但不限于承担过国土空间总体规划、国土空间规划城市体检等相关业务），每提供1份得2.5分，最高得5分； 注：业绩证明材料须提供加盖投标人公章的合同（协议）或中标（成交）通知书复印件等，以合同签订日期或通知书签发日期为准，否则不得分。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报价最低的投标人的价格为评审基准价，其价格分为满分。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