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47E7DD">
      <w:pPr>
        <w:spacing w:line="360" w:lineRule="auto"/>
        <w:jc w:val="both"/>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24"/>
          <w:szCs w:val="24"/>
          <w:highlight w:val="none"/>
          <w:lang w:eastAsia="zh-CN"/>
        </w:rPr>
        <w:t>（注：本合同条款为</w:t>
      </w:r>
      <w:r>
        <w:rPr>
          <w:rFonts w:hint="eastAsia" w:ascii="宋体" w:hAnsi="宋体" w:eastAsia="宋体" w:cs="宋体"/>
          <w:b/>
          <w:color w:val="auto"/>
          <w:sz w:val="24"/>
          <w:szCs w:val="24"/>
          <w:highlight w:val="none"/>
        </w:rPr>
        <w:t>参考格式</w:t>
      </w:r>
      <w:r>
        <w:rPr>
          <w:rFonts w:hint="eastAsia" w:ascii="宋体" w:hAnsi="宋体" w:eastAsia="宋体" w:cs="宋体"/>
          <w:b/>
          <w:color w:val="auto"/>
          <w:sz w:val="24"/>
          <w:szCs w:val="24"/>
          <w:highlight w:val="none"/>
          <w:lang w:eastAsia="zh-CN"/>
        </w:rPr>
        <w:t>，可按实际服务内容及约定进行修改）</w:t>
      </w:r>
    </w:p>
    <w:p w14:paraId="554DD5EE">
      <w:pPr>
        <w:rPr>
          <w:rFonts w:hint="eastAsia" w:ascii="宋体" w:hAnsi="宋体" w:eastAsia="宋体" w:cs="宋体"/>
          <w:b/>
          <w:bCs/>
          <w:sz w:val="32"/>
          <w:szCs w:val="32"/>
          <w:highlight w:val="none"/>
          <w:lang w:val="zh-TW" w:eastAsia="zh-CN"/>
        </w:rPr>
      </w:pPr>
    </w:p>
    <w:p w14:paraId="3A95CC9E">
      <w:pPr>
        <w:rPr>
          <w:rFonts w:hint="eastAsia" w:ascii="宋体" w:hAnsi="宋体" w:eastAsia="宋体" w:cs="宋体"/>
          <w:color w:val="000000"/>
          <w:sz w:val="28"/>
          <w:szCs w:val="28"/>
          <w:highlight w:val="none"/>
          <w:u w:val="single"/>
        </w:rPr>
      </w:pPr>
    </w:p>
    <w:p w14:paraId="4CAD0575">
      <w:pPr>
        <w:rPr>
          <w:rFonts w:hint="eastAsia" w:ascii="宋体" w:hAnsi="宋体" w:eastAsia="宋体" w:cs="宋体"/>
          <w:color w:val="000000"/>
          <w:sz w:val="28"/>
          <w:szCs w:val="28"/>
          <w:highlight w:val="none"/>
          <w:u w:val="single"/>
        </w:rPr>
      </w:pPr>
    </w:p>
    <w:p w14:paraId="53D8C577">
      <w:pPr>
        <w:spacing w:after="312" w:afterLines="100"/>
        <w:jc w:val="center"/>
        <w:rPr>
          <w:rFonts w:hint="eastAsia" w:ascii="宋体" w:hAnsi="宋体" w:cs="宋体"/>
          <w:b/>
          <w:bCs/>
          <w:color w:val="000000"/>
          <w:sz w:val="48"/>
          <w:szCs w:val="48"/>
          <w:highlight w:val="none"/>
          <w:lang w:val="en-US" w:eastAsia="zh-CN"/>
        </w:rPr>
      </w:pPr>
      <w:r>
        <w:rPr>
          <w:rFonts w:hint="eastAsia" w:ascii="宋体" w:hAnsi="宋体" w:cs="宋体"/>
          <w:b/>
          <w:bCs/>
          <w:color w:val="000000"/>
          <w:sz w:val="48"/>
          <w:szCs w:val="48"/>
          <w:highlight w:val="none"/>
          <w:lang w:val="en-US" w:eastAsia="zh-CN"/>
        </w:rPr>
        <w:t>西安市“多检合一”体检评估工作</w:t>
      </w:r>
    </w:p>
    <w:p w14:paraId="68FCA3D6">
      <w:pPr>
        <w:spacing w:after="312" w:afterLines="100"/>
        <w:jc w:val="center"/>
        <w:rPr>
          <w:rFonts w:hint="eastAsia" w:ascii="宋体" w:hAnsi="宋体" w:eastAsia="宋体" w:cs="宋体"/>
          <w:b/>
          <w:bCs/>
          <w:color w:val="000000"/>
          <w:sz w:val="52"/>
          <w:szCs w:val="52"/>
          <w:highlight w:val="none"/>
        </w:rPr>
      </w:pPr>
      <w:r>
        <w:rPr>
          <w:rFonts w:hint="eastAsia" w:ascii="宋体" w:hAnsi="宋体" w:cs="宋体"/>
          <w:b/>
          <w:bCs/>
          <w:color w:val="000000"/>
          <w:sz w:val="48"/>
          <w:szCs w:val="48"/>
          <w:highlight w:val="none"/>
          <w:lang w:val="en-US" w:eastAsia="zh-CN"/>
        </w:rPr>
        <w:t>（2024年度）</w:t>
      </w:r>
    </w:p>
    <w:p w14:paraId="3233BE08">
      <w:pPr>
        <w:jc w:val="both"/>
        <w:rPr>
          <w:rFonts w:hint="eastAsia" w:ascii="宋体" w:hAnsi="宋体" w:eastAsia="宋体" w:cs="宋体"/>
          <w:b/>
          <w:bCs/>
          <w:spacing w:val="16"/>
          <w:sz w:val="72"/>
          <w:szCs w:val="96"/>
          <w:highlight w:val="none"/>
        </w:rPr>
      </w:pPr>
    </w:p>
    <w:p w14:paraId="71D7176E">
      <w:pPr>
        <w:pStyle w:val="4"/>
        <w:tabs>
          <w:tab w:val="left" w:pos="540"/>
          <w:tab w:val="left" w:pos="720"/>
        </w:tabs>
        <w:rPr>
          <w:rFonts w:hint="eastAsia" w:ascii="宋体" w:hAnsi="宋体" w:eastAsia="宋体" w:cs="宋体"/>
          <w:highlight w:val="none"/>
        </w:rPr>
      </w:pPr>
    </w:p>
    <w:p w14:paraId="2FF0B6AF">
      <w:pPr>
        <w:jc w:val="center"/>
        <w:rPr>
          <w:rFonts w:hint="eastAsia" w:ascii="宋体" w:hAnsi="宋体" w:eastAsia="宋体" w:cs="宋体"/>
          <w:b/>
          <w:bCs/>
          <w:spacing w:val="16"/>
          <w:sz w:val="72"/>
          <w:szCs w:val="96"/>
          <w:highlight w:val="none"/>
        </w:rPr>
      </w:pPr>
      <w:r>
        <w:rPr>
          <w:rFonts w:hint="eastAsia" w:ascii="宋体" w:hAnsi="宋体" w:eastAsia="宋体" w:cs="宋体"/>
          <w:b/>
          <w:bCs/>
          <w:spacing w:val="16"/>
          <w:sz w:val="72"/>
          <w:szCs w:val="96"/>
          <w:highlight w:val="none"/>
        </w:rPr>
        <w:t>服 务 合 同</w:t>
      </w:r>
    </w:p>
    <w:p w14:paraId="4087F42F">
      <w:pPr>
        <w:jc w:val="center"/>
        <w:rPr>
          <w:rFonts w:hint="eastAsia" w:ascii="宋体" w:hAnsi="宋体" w:eastAsia="宋体" w:cs="宋体"/>
          <w:spacing w:val="16"/>
          <w:kern w:val="0"/>
          <w:sz w:val="28"/>
          <w:szCs w:val="32"/>
          <w:highlight w:val="none"/>
        </w:rPr>
      </w:pPr>
      <w:r>
        <w:rPr>
          <w:rFonts w:hint="eastAsia" w:ascii="宋体" w:hAnsi="宋体" w:eastAsia="宋体" w:cs="宋体"/>
          <w:spacing w:val="16"/>
          <w:kern w:val="0"/>
          <w:sz w:val="28"/>
          <w:szCs w:val="32"/>
          <w:highlight w:val="none"/>
        </w:rPr>
        <w:t xml:space="preserve">政府采购项目 </w:t>
      </w:r>
    </w:p>
    <w:p w14:paraId="7AFE51C1">
      <w:pPr>
        <w:jc w:val="center"/>
        <w:rPr>
          <w:rFonts w:hint="eastAsia" w:ascii="宋体" w:hAnsi="宋体" w:eastAsia="宋体" w:cs="宋体"/>
          <w:spacing w:val="16"/>
          <w:kern w:val="0"/>
          <w:sz w:val="28"/>
          <w:szCs w:val="32"/>
          <w:highlight w:val="none"/>
        </w:rPr>
      </w:pPr>
      <w:r>
        <w:rPr>
          <w:rFonts w:hint="eastAsia" w:ascii="宋体" w:hAnsi="宋体" w:eastAsia="宋体" w:cs="宋体"/>
          <w:spacing w:val="16"/>
          <w:kern w:val="0"/>
          <w:sz w:val="28"/>
          <w:szCs w:val="32"/>
          <w:highlight w:val="none"/>
        </w:rPr>
        <w:t>项目编号：</w:t>
      </w:r>
      <w:r>
        <w:rPr>
          <w:rFonts w:hint="eastAsia" w:ascii="宋体" w:hAnsi="宋体" w:eastAsia="宋体" w:cs="宋体"/>
          <w:spacing w:val="16"/>
          <w:kern w:val="0"/>
          <w:sz w:val="28"/>
          <w:szCs w:val="32"/>
          <w:highlight w:val="none"/>
          <w:lang w:val="zh-CN" w:eastAsia="zh-CN"/>
        </w:rPr>
        <w:t>GXZB2025-105Z</w:t>
      </w:r>
    </w:p>
    <w:p w14:paraId="32A510B3">
      <w:pPr>
        <w:jc w:val="center"/>
        <w:rPr>
          <w:rFonts w:hint="eastAsia" w:ascii="宋体" w:hAnsi="宋体" w:eastAsia="宋体" w:cs="宋体"/>
          <w:spacing w:val="16"/>
          <w:kern w:val="0"/>
          <w:sz w:val="28"/>
          <w:szCs w:val="32"/>
          <w:highlight w:val="none"/>
        </w:rPr>
      </w:pPr>
    </w:p>
    <w:p w14:paraId="7BD0C36D">
      <w:pPr>
        <w:jc w:val="both"/>
        <w:rPr>
          <w:rFonts w:hint="eastAsia" w:ascii="宋体" w:hAnsi="宋体" w:eastAsia="宋体" w:cs="宋体"/>
          <w:b/>
          <w:bCs/>
          <w:spacing w:val="16"/>
          <w:sz w:val="72"/>
          <w:szCs w:val="96"/>
          <w:highlight w:val="none"/>
        </w:rPr>
      </w:pPr>
    </w:p>
    <w:p w14:paraId="3118E585">
      <w:pPr>
        <w:spacing w:line="500" w:lineRule="exact"/>
        <w:ind w:firstLine="1872" w:firstLineChars="600"/>
        <w:rPr>
          <w:rFonts w:hint="eastAsia" w:ascii="宋体" w:hAnsi="宋体" w:eastAsia="宋体" w:cs="宋体"/>
          <w:spacing w:val="16"/>
          <w:kern w:val="0"/>
          <w:sz w:val="28"/>
          <w:szCs w:val="32"/>
          <w:highlight w:val="none"/>
        </w:rPr>
      </w:pPr>
      <w:r>
        <w:rPr>
          <w:rFonts w:hint="eastAsia" w:ascii="宋体" w:hAnsi="宋体" w:eastAsia="宋体" w:cs="宋体"/>
          <w:spacing w:val="16"/>
          <w:kern w:val="0"/>
          <w:sz w:val="28"/>
          <w:szCs w:val="32"/>
          <w:highlight w:val="none"/>
        </w:rPr>
        <w:t>甲 方：西安市自然资源和规划局</w:t>
      </w:r>
    </w:p>
    <w:p w14:paraId="0793344C">
      <w:pPr>
        <w:spacing w:line="500" w:lineRule="exact"/>
        <w:ind w:firstLine="1872" w:firstLineChars="600"/>
        <w:rPr>
          <w:rFonts w:hint="eastAsia" w:ascii="宋体" w:hAnsi="宋体" w:eastAsia="宋体" w:cs="宋体"/>
          <w:color w:val="000000"/>
          <w:sz w:val="28"/>
          <w:szCs w:val="28"/>
          <w:highlight w:val="none"/>
          <w:u w:val="single"/>
        </w:rPr>
      </w:pPr>
      <w:r>
        <w:rPr>
          <w:rFonts w:hint="eastAsia" w:ascii="宋体" w:hAnsi="宋体" w:eastAsia="宋体" w:cs="宋体"/>
          <w:spacing w:val="16"/>
          <w:kern w:val="0"/>
          <w:sz w:val="28"/>
          <w:szCs w:val="32"/>
          <w:highlight w:val="none"/>
        </w:rPr>
        <w:t>乙 方：</w:t>
      </w:r>
    </w:p>
    <w:p w14:paraId="39C4403C">
      <w:pPr>
        <w:jc w:val="center"/>
        <w:rPr>
          <w:rFonts w:hint="eastAsia" w:ascii="宋体" w:hAnsi="宋体" w:eastAsia="宋体" w:cs="宋体"/>
          <w:spacing w:val="16"/>
          <w:kern w:val="0"/>
          <w:sz w:val="32"/>
          <w:szCs w:val="36"/>
          <w:highlight w:val="none"/>
        </w:rPr>
      </w:pPr>
    </w:p>
    <w:p w14:paraId="7D937122">
      <w:pPr>
        <w:pStyle w:val="4"/>
        <w:tabs>
          <w:tab w:val="left" w:pos="540"/>
          <w:tab w:val="left" w:pos="720"/>
        </w:tabs>
        <w:rPr>
          <w:rFonts w:hint="eastAsia" w:ascii="宋体" w:hAnsi="宋体" w:eastAsia="宋体" w:cs="宋体"/>
          <w:highlight w:val="none"/>
        </w:rPr>
      </w:pPr>
    </w:p>
    <w:p w14:paraId="1684C852">
      <w:pPr>
        <w:jc w:val="center"/>
        <w:rPr>
          <w:rFonts w:hint="eastAsia" w:ascii="宋体" w:hAnsi="宋体" w:eastAsia="宋体" w:cs="宋体"/>
          <w:spacing w:val="16"/>
          <w:kern w:val="0"/>
          <w:sz w:val="32"/>
          <w:szCs w:val="36"/>
          <w:highlight w:val="none"/>
        </w:rPr>
      </w:pPr>
      <w:r>
        <w:rPr>
          <w:rFonts w:hint="eastAsia" w:ascii="宋体" w:hAnsi="宋体" w:eastAsia="宋体" w:cs="宋体"/>
          <w:spacing w:val="16"/>
          <w:kern w:val="0"/>
          <w:sz w:val="32"/>
          <w:szCs w:val="36"/>
          <w:highlight w:val="none"/>
        </w:rPr>
        <w:t>202</w:t>
      </w:r>
      <w:r>
        <w:rPr>
          <w:rFonts w:hint="eastAsia" w:ascii="宋体" w:hAnsi="宋体" w:cs="宋体"/>
          <w:spacing w:val="16"/>
          <w:kern w:val="0"/>
          <w:sz w:val="32"/>
          <w:szCs w:val="36"/>
          <w:highlight w:val="none"/>
          <w:lang w:val="en-US" w:eastAsia="zh-CN"/>
        </w:rPr>
        <w:t>5</w:t>
      </w:r>
      <w:r>
        <w:rPr>
          <w:rFonts w:hint="eastAsia" w:ascii="宋体" w:hAnsi="宋体" w:eastAsia="宋体" w:cs="宋体"/>
          <w:spacing w:val="16"/>
          <w:kern w:val="0"/>
          <w:sz w:val="32"/>
          <w:szCs w:val="36"/>
          <w:highlight w:val="none"/>
        </w:rPr>
        <w:t>年</w:t>
      </w:r>
      <w:r>
        <w:rPr>
          <w:rFonts w:hint="eastAsia" w:ascii="宋体" w:hAnsi="宋体" w:cs="宋体"/>
          <w:spacing w:val="16"/>
          <w:kern w:val="0"/>
          <w:sz w:val="32"/>
          <w:szCs w:val="36"/>
          <w:highlight w:val="none"/>
          <w:lang w:val="en-US" w:eastAsia="zh-CN"/>
        </w:rPr>
        <w:t>12</w:t>
      </w:r>
      <w:r>
        <w:rPr>
          <w:rFonts w:hint="eastAsia" w:ascii="宋体" w:hAnsi="宋体" w:eastAsia="宋体" w:cs="宋体"/>
          <w:spacing w:val="16"/>
          <w:kern w:val="0"/>
          <w:sz w:val="32"/>
          <w:szCs w:val="36"/>
          <w:highlight w:val="none"/>
        </w:rPr>
        <w:t>月</w:t>
      </w:r>
    </w:p>
    <w:p w14:paraId="726B627E">
      <w:pPr>
        <w:pStyle w:val="3"/>
        <w:jc w:val="center"/>
        <w:rPr>
          <w:rFonts w:hint="eastAsia" w:ascii="宋体" w:hAnsi="宋体" w:eastAsia="宋体" w:cs="宋体"/>
          <w:b/>
          <w:bCs/>
          <w:color w:val="000000"/>
          <w:spacing w:val="16"/>
          <w:sz w:val="72"/>
          <w:szCs w:val="96"/>
          <w:highlight w:val="none"/>
          <w:u w:val="single"/>
        </w:rPr>
      </w:pPr>
      <w:r>
        <w:rPr>
          <w:rFonts w:hint="eastAsia" w:ascii="宋体" w:hAnsi="宋体" w:eastAsia="宋体" w:cs="宋体"/>
          <w:spacing w:val="16"/>
          <w:kern w:val="0"/>
          <w:sz w:val="32"/>
          <w:szCs w:val="36"/>
          <w:highlight w:val="none"/>
        </w:rPr>
        <w:t>中国  西安</w:t>
      </w:r>
    </w:p>
    <w:p w14:paraId="4FE3CE4F">
      <w:pPr>
        <w:rPr>
          <w:rFonts w:hint="eastAsia" w:ascii="宋体" w:hAnsi="宋体" w:eastAsia="宋体" w:cs="宋体"/>
          <w:sz w:val="28"/>
          <w:highlight w:val="none"/>
        </w:rPr>
      </w:pPr>
    </w:p>
    <w:p w14:paraId="2CFB9AA7">
      <w:pPr>
        <w:keepNext w:val="0"/>
        <w:keepLines w:val="0"/>
        <w:pageBreakBefore w:val="0"/>
        <w:widowControl/>
        <w:kinsoku/>
        <w:wordWrap/>
        <w:overflowPunct/>
        <w:topLinePunct w:val="0"/>
        <w:bidi w:val="0"/>
        <w:snapToGrid/>
        <w:spacing w:line="480" w:lineRule="exact"/>
        <w:ind w:firstLine="0" w:firstLineChars="0"/>
        <w:rPr>
          <w:rFonts w:hint="eastAsia" w:ascii="宋体" w:hAnsi="宋体" w:eastAsia="宋体" w:cs="宋体"/>
          <w:sz w:val="24"/>
          <w:szCs w:val="24"/>
          <w:highlight w:val="none"/>
        </w:rPr>
      </w:pPr>
      <w:r>
        <w:rPr>
          <w:rFonts w:hint="eastAsia" w:ascii="宋体" w:hAnsi="宋体" w:eastAsia="宋体" w:cs="宋体"/>
          <w:b/>
          <w:bCs/>
          <w:sz w:val="24"/>
          <w:szCs w:val="24"/>
          <w:highlight w:val="none"/>
        </w:rPr>
        <w:br w:type="page"/>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根据《中华人民共和国政府采购法》及实施条例、《中华人民共和国民法典》和</w:t>
      </w:r>
      <w:r>
        <w:rPr>
          <w:rFonts w:hint="eastAsia" w:ascii="宋体" w:hAnsi="宋体" w:cs="宋体"/>
          <w:sz w:val="24"/>
          <w:szCs w:val="24"/>
          <w:highlight w:val="none"/>
          <w:lang w:eastAsia="zh-CN"/>
        </w:rPr>
        <w:t>西安市“多检合一”体检评估工作（2024年度）</w:t>
      </w:r>
      <w:r>
        <w:rPr>
          <w:rFonts w:hint="eastAsia" w:ascii="宋体" w:hAnsi="宋体" w:eastAsia="宋体" w:cs="宋体"/>
          <w:sz w:val="24"/>
          <w:szCs w:val="24"/>
          <w:highlight w:val="none"/>
        </w:rPr>
        <w:t>（项目编号：</w:t>
      </w:r>
      <w:r>
        <w:rPr>
          <w:rFonts w:hint="eastAsia" w:ascii="宋体" w:hAnsi="宋体" w:cs="宋体"/>
          <w:b w:val="0"/>
          <w:bCs/>
          <w:sz w:val="24"/>
          <w:szCs w:val="24"/>
          <w:highlight w:val="none"/>
          <w:lang w:val="zh-CN" w:eastAsia="zh-CN"/>
        </w:rPr>
        <w:t>GXZB2025-105Z</w:t>
      </w:r>
      <w:r>
        <w:rPr>
          <w:rFonts w:hint="eastAsia" w:ascii="宋体" w:hAnsi="宋体" w:eastAsia="宋体" w:cs="宋体"/>
          <w:sz w:val="24"/>
          <w:szCs w:val="24"/>
          <w:highlight w:val="none"/>
        </w:rPr>
        <w:t>）的招标文件、投标文件等有关规定，为确保甲方采购项目的顺利实施，甲、乙双方在平等自愿原则下签订本合同，并共同遵守如下条款：</w:t>
      </w:r>
    </w:p>
    <w:p w14:paraId="18A1B250">
      <w:pPr>
        <w:keepNext w:val="0"/>
        <w:keepLines w:val="0"/>
        <w:pageBreakBefore w:val="0"/>
        <w:widowControl/>
        <w:kinsoku/>
        <w:wordWrap/>
        <w:overflowPunct/>
        <w:topLinePunct w:val="0"/>
        <w:bidi w:val="0"/>
        <w:snapToGrid/>
        <w:spacing w:line="48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第一条：项目基本情况</w:t>
      </w:r>
    </w:p>
    <w:p w14:paraId="661E1018">
      <w:pPr>
        <w:pStyle w:val="7"/>
        <w:keepNext w:val="0"/>
        <w:keepLines w:val="0"/>
        <w:pageBreakBefore w:val="0"/>
        <w:widowControl/>
        <w:kinsoku/>
        <w:wordWrap/>
        <w:overflowPunct/>
        <w:topLinePunct w:val="0"/>
        <w:bidi w:val="0"/>
        <w:snapToGrid/>
        <w:spacing w:line="480" w:lineRule="exact"/>
        <w:ind w:firstLine="420"/>
        <w:rPr>
          <w:rFonts w:hint="eastAsia" w:ascii="宋体" w:hAnsi="宋体" w:eastAsia="宋体" w:cs="宋体"/>
          <w:sz w:val="24"/>
          <w:szCs w:val="24"/>
          <w:highlight w:val="none"/>
        </w:rPr>
      </w:pPr>
      <w:r>
        <w:rPr>
          <w:rFonts w:hint="eastAsia" w:ascii="宋体" w:hAnsi="宋体" w:eastAsia="宋体" w:cs="宋体"/>
          <w:kern w:val="2"/>
          <w:sz w:val="24"/>
          <w:szCs w:val="24"/>
          <w:highlight w:val="none"/>
          <w:lang w:eastAsia="zh-CN" w:bidi="ar-SA"/>
        </w:rPr>
        <w:t>为了贯彻《中共中央国务院关于建立国土空间规划体系并监督实施的若干意见》（中发〔2019〕18号）和自然资源部“健全规划实时监测、定期评估、动态维护制度，建立城市体检评估机制”的指示精神，落实和完善“一年一体检、五年一评估”的常态化规划实施监督机制，以自然资源部《国土空间规划城市体检评估规程（2025年修订版）》为核心，结合住建部门的《城市体检工作手册（试行）》以及西安市“实时体检评估”的相关要求，开展西安市“多检合一”体检评估工作（2024年度）。</w:t>
      </w:r>
    </w:p>
    <w:p w14:paraId="45D98B5B">
      <w:pPr>
        <w:keepNext w:val="0"/>
        <w:keepLines w:val="0"/>
        <w:pageBreakBefore w:val="0"/>
        <w:widowControl/>
        <w:kinsoku/>
        <w:wordWrap/>
        <w:overflowPunct/>
        <w:topLinePunct w:val="0"/>
        <w:bidi w:val="0"/>
        <w:snapToGrid/>
        <w:spacing w:after="157" w:afterLines="50" w:line="48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第二条：进度要求</w:t>
      </w:r>
    </w:p>
    <w:p w14:paraId="79C43DDC">
      <w:pPr>
        <w:spacing w:after="0" w:line="360" w:lineRule="auto"/>
        <w:ind w:firstLine="480" w:firstLineChars="200"/>
        <w:rPr>
          <w:rFonts w:hint="eastAsia" w:ascii="宋体" w:hAnsi="宋体" w:eastAsia="宋体" w:cstheme="minorEastAsia"/>
          <w:sz w:val="24"/>
          <w:highlight w:val="none"/>
        </w:rPr>
      </w:pPr>
      <w:r>
        <w:rPr>
          <w:rFonts w:ascii="宋体" w:hAnsi="宋体" w:eastAsia="宋体" w:cstheme="minorEastAsia"/>
          <w:sz w:val="24"/>
          <w:highlight w:val="none"/>
        </w:rPr>
        <w:t>2026年</w:t>
      </w:r>
      <w:r>
        <w:rPr>
          <w:rFonts w:hint="eastAsia" w:ascii="宋体" w:hAnsi="宋体" w:eastAsia="宋体" w:cstheme="minorEastAsia"/>
          <w:sz w:val="24"/>
          <w:highlight w:val="none"/>
        </w:rPr>
        <w:t>6</w:t>
      </w:r>
      <w:r>
        <w:rPr>
          <w:rFonts w:ascii="宋体" w:hAnsi="宋体" w:eastAsia="宋体" w:cstheme="minorEastAsia"/>
          <w:sz w:val="24"/>
          <w:highlight w:val="none"/>
        </w:rPr>
        <w:t>月前</w:t>
      </w:r>
      <w:r>
        <w:rPr>
          <w:rFonts w:hint="eastAsia" w:ascii="宋体" w:hAnsi="宋体" w:eastAsia="宋体" w:cstheme="minorEastAsia"/>
          <w:sz w:val="24"/>
          <w:highlight w:val="none"/>
        </w:rPr>
        <w:t>，</w:t>
      </w:r>
      <w:r>
        <w:rPr>
          <w:rFonts w:ascii="宋体" w:hAnsi="宋体" w:eastAsia="宋体" w:cstheme="minorEastAsia"/>
          <w:sz w:val="24"/>
          <w:highlight w:val="none"/>
        </w:rPr>
        <w:t>完成评估报告，并通过专家评审。</w:t>
      </w:r>
    </w:p>
    <w:p w14:paraId="78860B3E">
      <w:pPr>
        <w:spacing w:after="0" w:line="360" w:lineRule="auto"/>
        <w:ind w:firstLine="480" w:firstLineChars="200"/>
        <w:rPr>
          <w:rFonts w:hint="eastAsia" w:ascii="宋体" w:hAnsi="宋体" w:eastAsia="宋体" w:cstheme="minorEastAsia"/>
          <w:sz w:val="24"/>
          <w:highlight w:val="none"/>
        </w:rPr>
      </w:pPr>
      <w:r>
        <w:rPr>
          <w:rFonts w:ascii="宋体" w:hAnsi="宋体" w:eastAsia="宋体" w:cstheme="minorEastAsia"/>
          <w:sz w:val="24"/>
          <w:highlight w:val="none"/>
        </w:rPr>
        <w:t>2026年</w:t>
      </w:r>
      <w:r>
        <w:rPr>
          <w:rFonts w:hint="eastAsia" w:ascii="宋体" w:hAnsi="宋体" w:eastAsia="宋体" w:cstheme="minorEastAsia"/>
          <w:sz w:val="24"/>
          <w:highlight w:val="none"/>
        </w:rPr>
        <w:t>12</w:t>
      </w:r>
      <w:r>
        <w:rPr>
          <w:rFonts w:ascii="宋体" w:hAnsi="宋体" w:eastAsia="宋体" w:cstheme="minorEastAsia"/>
          <w:sz w:val="24"/>
          <w:highlight w:val="none"/>
        </w:rPr>
        <w:t>月前，</w:t>
      </w:r>
      <w:r>
        <w:rPr>
          <w:rFonts w:hint="eastAsia" w:ascii="宋体" w:hAnsi="宋体" w:eastAsia="宋体" w:cstheme="minorEastAsia"/>
          <w:sz w:val="24"/>
          <w:highlight w:val="none"/>
        </w:rPr>
        <w:t>完善</w:t>
      </w:r>
      <w:r>
        <w:rPr>
          <w:rFonts w:ascii="宋体" w:hAnsi="宋体" w:eastAsia="宋体" w:cstheme="minorEastAsia"/>
          <w:sz w:val="24"/>
          <w:highlight w:val="none"/>
        </w:rPr>
        <w:t>评估</w:t>
      </w:r>
      <w:r>
        <w:rPr>
          <w:rFonts w:hint="eastAsia" w:ascii="宋体" w:hAnsi="宋体" w:eastAsia="宋体" w:cstheme="minorEastAsia"/>
          <w:sz w:val="24"/>
          <w:highlight w:val="none"/>
        </w:rPr>
        <w:t>报告</w:t>
      </w:r>
      <w:r>
        <w:rPr>
          <w:rFonts w:ascii="宋体" w:hAnsi="宋体" w:eastAsia="宋体" w:cstheme="minorEastAsia"/>
          <w:sz w:val="24"/>
          <w:highlight w:val="none"/>
        </w:rPr>
        <w:t>，并通过主管部门验收。</w:t>
      </w:r>
    </w:p>
    <w:p w14:paraId="5DDDBD53">
      <w:pPr>
        <w:pStyle w:val="3"/>
        <w:widowControl/>
        <w:numPr>
          <w:ilvl w:val="0"/>
          <w:numId w:val="0"/>
        </w:numPr>
        <w:tabs>
          <w:tab w:val="left" w:pos="0"/>
        </w:tabs>
        <w:spacing w:line="480" w:lineRule="exact"/>
        <w:ind w:left="420" w:right="-94" w:rightChars="0" w:firstLine="0"/>
        <w:jc w:val="left"/>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1.合同签订15个工作日内形成工作方案。</w:t>
      </w:r>
    </w:p>
    <w:p w14:paraId="12062332">
      <w:pPr>
        <w:pStyle w:val="3"/>
        <w:widowControl/>
        <w:numPr>
          <w:ilvl w:val="0"/>
          <w:numId w:val="0"/>
        </w:numPr>
        <w:tabs>
          <w:tab w:val="left" w:pos="0"/>
        </w:tabs>
        <w:spacing w:line="480" w:lineRule="exact"/>
        <w:ind w:left="420" w:right="-94" w:rightChars="0" w:firstLine="0"/>
        <w:jc w:val="left"/>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2.合同签订3个月内形成初步成果。</w:t>
      </w:r>
    </w:p>
    <w:p w14:paraId="070D6A1B">
      <w:pPr>
        <w:pStyle w:val="3"/>
        <w:widowControl/>
        <w:numPr>
          <w:ilvl w:val="0"/>
          <w:numId w:val="0"/>
        </w:numPr>
        <w:tabs>
          <w:tab w:val="left" w:pos="0"/>
        </w:tabs>
        <w:spacing w:line="480" w:lineRule="exact"/>
        <w:ind w:left="420" w:right="-94" w:rightChars="0" w:firstLine="0"/>
        <w:jc w:val="left"/>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3.合同签订</w:t>
      </w:r>
      <w:r>
        <w:rPr>
          <w:rFonts w:hint="eastAsia" w:ascii="宋体" w:hAnsi="宋体" w:eastAsia="宋体" w:cs="宋体"/>
          <w:spacing w:val="0"/>
          <w:sz w:val="24"/>
          <w:szCs w:val="24"/>
          <w:highlight w:val="none"/>
          <w:lang w:val="en-US" w:eastAsia="zh-CN"/>
        </w:rPr>
        <w:t>12</w:t>
      </w:r>
      <w:r>
        <w:rPr>
          <w:rFonts w:hint="eastAsia" w:ascii="宋体" w:hAnsi="宋体" w:eastAsia="宋体" w:cs="宋体"/>
          <w:spacing w:val="0"/>
          <w:sz w:val="24"/>
          <w:szCs w:val="24"/>
          <w:highlight w:val="none"/>
        </w:rPr>
        <w:t>个月内形成最终成果。</w:t>
      </w:r>
    </w:p>
    <w:p w14:paraId="107FA226">
      <w:pPr>
        <w:pStyle w:val="3"/>
        <w:widowControl/>
        <w:numPr>
          <w:ilvl w:val="0"/>
          <w:numId w:val="0"/>
        </w:numPr>
        <w:tabs>
          <w:tab w:val="left" w:pos="0"/>
        </w:tabs>
        <w:spacing w:line="480" w:lineRule="exact"/>
        <w:ind w:left="420" w:right="-94" w:rightChars="0" w:firstLine="0"/>
        <w:jc w:val="left"/>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4.技术服务单位应定期(周、月)向采购人提供项目工作进度。</w:t>
      </w:r>
    </w:p>
    <w:p w14:paraId="006AD4FC">
      <w:pPr>
        <w:pStyle w:val="3"/>
        <w:widowControl/>
        <w:numPr>
          <w:ilvl w:val="0"/>
          <w:numId w:val="0"/>
        </w:numPr>
        <w:tabs>
          <w:tab w:val="left" w:pos="0"/>
        </w:tabs>
        <w:spacing w:line="480" w:lineRule="exact"/>
        <w:ind w:left="420" w:right="-94" w:rightChars="0" w:firstLine="0"/>
        <w:jc w:val="left"/>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5.采购人根据实际需要，对项目进展情况不定期听取汇报。</w:t>
      </w:r>
    </w:p>
    <w:p w14:paraId="0B32C005">
      <w:pPr>
        <w:pStyle w:val="3"/>
        <w:widowControl/>
        <w:numPr>
          <w:ilvl w:val="0"/>
          <w:numId w:val="0"/>
        </w:numPr>
        <w:tabs>
          <w:tab w:val="left" w:pos="0"/>
        </w:tabs>
        <w:spacing w:line="480" w:lineRule="exact"/>
        <w:ind w:left="0" w:right="-94" w:rightChars="0" w:firstLine="420" w:firstLineChars="175"/>
        <w:jc w:val="left"/>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6.受不可抗力(规划编制完成时间延后、提前；上位要求变化等)因素影响，采购人可适当调整进度要求。</w:t>
      </w:r>
    </w:p>
    <w:p w14:paraId="718AB250">
      <w:pPr>
        <w:keepNext w:val="0"/>
        <w:keepLines w:val="0"/>
        <w:pageBreakBefore w:val="0"/>
        <w:widowControl/>
        <w:kinsoku/>
        <w:wordWrap/>
        <w:overflowPunct/>
        <w:topLinePunct w:val="0"/>
        <w:bidi w:val="0"/>
        <w:snapToGrid/>
        <w:spacing w:line="48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第三条：成果形式与交付要求</w:t>
      </w:r>
    </w:p>
    <w:p w14:paraId="5D89B865">
      <w:pPr>
        <w:widowControl/>
        <w:spacing w:after="0" w:afterLines="-2147483648" w:line="480" w:lineRule="exact"/>
        <w:ind w:firstLine="480" w:firstLineChars="200"/>
        <w:rPr>
          <w:rFonts w:hint="eastAsia" w:ascii="宋体" w:hAnsi="宋体" w:eastAsia="宋体" w:cs="宋体"/>
          <w:spacing w:val="0"/>
          <w:kern w:val="2"/>
          <w:sz w:val="24"/>
          <w:szCs w:val="24"/>
          <w:highlight w:val="none"/>
          <w:lang w:eastAsia="zh-CN" w:bidi="ar-SA"/>
        </w:rPr>
      </w:pPr>
      <w:r>
        <w:rPr>
          <w:rFonts w:hint="eastAsia" w:ascii="宋体" w:hAnsi="宋体" w:eastAsia="宋体" w:cs="宋体"/>
          <w:spacing w:val="0"/>
          <w:kern w:val="2"/>
          <w:sz w:val="24"/>
          <w:szCs w:val="24"/>
          <w:highlight w:val="none"/>
          <w:lang w:eastAsia="zh-CN" w:bidi="ar-SA"/>
        </w:rPr>
        <w:t>(一)成果质量要求：</w:t>
      </w:r>
    </w:p>
    <w:p w14:paraId="0BA47B8F">
      <w:pPr>
        <w:widowControl/>
        <w:spacing w:line="480" w:lineRule="exact"/>
        <w:ind w:right="96" w:firstLine="480" w:firstLineChars="200"/>
        <w:jc w:val="left"/>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根据西安市域</w:t>
      </w:r>
      <w:r>
        <w:rPr>
          <w:rFonts w:hint="eastAsia" w:ascii="宋体" w:hAnsi="宋体" w:eastAsia="宋体" w:cs="宋体"/>
          <w:sz w:val="24"/>
          <w:szCs w:val="24"/>
          <w:highlight w:val="none"/>
        </w:rPr>
        <w:t>国土空间资源情况，</w:t>
      </w:r>
      <w:r>
        <w:rPr>
          <w:rFonts w:hint="eastAsia" w:ascii="宋体" w:hAnsi="宋体" w:eastAsia="宋体" w:cs="宋体"/>
          <w:spacing w:val="0"/>
          <w:sz w:val="24"/>
          <w:szCs w:val="24"/>
          <w:highlight w:val="none"/>
        </w:rPr>
        <w:t>严格依据自然资源部、陕西省自然资源厅、西安市自然资源和规划局</w:t>
      </w:r>
      <w:r>
        <w:rPr>
          <w:rFonts w:hint="eastAsia" w:ascii="宋体" w:hAnsi="宋体" w:eastAsia="宋体" w:cs="宋体"/>
          <w:spacing w:val="0"/>
          <w:sz w:val="24"/>
          <w:szCs w:val="24"/>
          <w:highlight w:val="none"/>
          <w:lang w:eastAsia="zh-CN"/>
        </w:rPr>
        <w:t>、西安市住房和城乡建设局</w:t>
      </w:r>
      <w:r>
        <w:rPr>
          <w:rFonts w:hint="eastAsia" w:ascii="宋体" w:hAnsi="宋体" w:eastAsia="宋体" w:cs="宋体"/>
          <w:spacing w:val="0"/>
          <w:sz w:val="24"/>
          <w:szCs w:val="24"/>
          <w:highlight w:val="none"/>
        </w:rPr>
        <w:t>的相关要求和技术规定，以及国家相关行业标准和规范，进行</w:t>
      </w:r>
      <w:r>
        <w:rPr>
          <w:rFonts w:hint="eastAsia" w:ascii="宋体" w:hAnsi="宋体" w:eastAsia="宋体" w:cs="宋体"/>
          <w:sz w:val="24"/>
          <w:szCs w:val="24"/>
          <w:highlight w:val="none"/>
        </w:rPr>
        <w:t>西安市“多检合一”体检评估工作（2024年度）</w:t>
      </w:r>
      <w:r>
        <w:rPr>
          <w:rFonts w:hint="eastAsia" w:ascii="宋体" w:hAnsi="宋体" w:eastAsia="宋体" w:cs="宋体"/>
          <w:spacing w:val="0"/>
          <w:sz w:val="24"/>
          <w:szCs w:val="24"/>
          <w:highlight w:val="none"/>
        </w:rPr>
        <w:t>相关研究及成果编制工作。</w:t>
      </w:r>
    </w:p>
    <w:p w14:paraId="6A9BCCD1">
      <w:pPr>
        <w:widowControl/>
        <w:spacing w:line="480" w:lineRule="exact"/>
        <w:ind w:right="96" w:firstLine="480" w:firstLineChars="200"/>
        <w:jc w:val="left"/>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(二)成果交付要求：</w:t>
      </w:r>
    </w:p>
    <w:p w14:paraId="4C16E8FC">
      <w:pPr>
        <w:widowControl/>
        <w:spacing w:line="480" w:lineRule="exact"/>
        <w:ind w:right="96" w:firstLine="480" w:firstLineChars="200"/>
        <w:jc w:val="left"/>
        <w:rPr>
          <w:rFonts w:hint="eastAsia" w:ascii="宋体" w:hAnsi="宋体" w:cs="宋体"/>
          <w:sz w:val="24"/>
          <w:highlight w:val="none"/>
        </w:rPr>
      </w:pPr>
      <w:r>
        <w:rPr>
          <w:rFonts w:hint="eastAsia" w:ascii="宋体" w:hAnsi="宋体" w:eastAsia="宋体" w:cs="宋体"/>
          <w:sz w:val="24"/>
          <w:szCs w:val="24"/>
          <w:highlight w:val="none"/>
        </w:rPr>
        <w:t>完成《西安市“多检合一”评估报告（2024年度）》</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《西安市国土空间规划</w:t>
      </w:r>
      <w:r>
        <w:rPr>
          <w:rFonts w:hint="eastAsia" w:ascii="宋体" w:hAnsi="宋体" w:eastAsia="宋体" w:cs="宋体"/>
          <w:sz w:val="24"/>
          <w:szCs w:val="24"/>
          <w:highlight w:val="none"/>
          <w:lang w:eastAsia="zh-CN"/>
        </w:rPr>
        <w:t>年度</w:t>
      </w:r>
      <w:r>
        <w:rPr>
          <w:rFonts w:hint="eastAsia" w:ascii="宋体" w:hAnsi="宋体" w:eastAsia="宋体" w:cs="宋体"/>
          <w:sz w:val="24"/>
          <w:szCs w:val="24"/>
          <w:highlight w:val="none"/>
        </w:rPr>
        <w:t>体检评估</w:t>
      </w:r>
      <w:r>
        <w:rPr>
          <w:rFonts w:hint="eastAsia" w:ascii="宋体" w:hAnsi="宋体" w:eastAsia="宋体" w:cs="宋体"/>
          <w:sz w:val="24"/>
          <w:szCs w:val="24"/>
          <w:highlight w:val="none"/>
          <w:lang w:eastAsia="zh-CN"/>
        </w:rPr>
        <w:t>报告</w:t>
      </w:r>
      <w:r>
        <w:rPr>
          <w:rFonts w:hint="eastAsia" w:ascii="宋体" w:hAnsi="宋体" w:eastAsia="宋体" w:cs="宋体"/>
          <w:sz w:val="24"/>
          <w:szCs w:val="24"/>
          <w:highlight w:val="none"/>
        </w:rPr>
        <w:t>》、《西安市城市体检</w:t>
      </w:r>
      <w:r>
        <w:rPr>
          <w:rFonts w:hint="eastAsia" w:ascii="宋体" w:hAnsi="宋体" w:eastAsia="宋体" w:cs="宋体"/>
          <w:sz w:val="24"/>
          <w:szCs w:val="24"/>
          <w:highlight w:val="none"/>
          <w:lang w:eastAsia="zh-CN"/>
        </w:rPr>
        <w:t>报告</w:t>
      </w:r>
      <w:r>
        <w:rPr>
          <w:rFonts w:hint="eastAsia" w:ascii="宋体" w:hAnsi="宋体" w:eastAsia="宋体" w:cs="宋体"/>
          <w:sz w:val="24"/>
          <w:szCs w:val="24"/>
          <w:highlight w:val="none"/>
        </w:rPr>
        <w:t>》</w:t>
      </w:r>
      <w:r>
        <w:rPr>
          <w:rFonts w:hint="eastAsia" w:ascii="宋体" w:hAnsi="宋体" w:eastAsia="宋体" w:cs="宋体"/>
          <w:spacing w:val="0"/>
          <w:sz w:val="24"/>
          <w:szCs w:val="24"/>
          <w:highlight w:val="none"/>
          <w:lang w:eastAsia="zh-CN"/>
        </w:rPr>
        <w:t>，</w:t>
      </w:r>
      <w:r>
        <w:rPr>
          <w:rFonts w:hint="eastAsia" w:ascii="宋体" w:hAnsi="宋体" w:eastAsia="宋体" w:cs="宋体"/>
          <w:spacing w:val="0"/>
          <w:sz w:val="24"/>
          <w:szCs w:val="24"/>
          <w:highlight w:val="none"/>
        </w:rPr>
        <w:t>同时形成《永久基本农田布局优化调整专题研究</w:t>
      </w:r>
      <w:r>
        <w:rPr>
          <w:rFonts w:hint="eastAsia" w:ascii="宋体" w:hAnsi="宋体" w:eastAsia="宋体" w:cs="宋体"/>
          <w:spacing w:val="0"/>
          <w:sz w:val="24"/>
          <w:szCs w:val="24"/>
          <w:highlight w:val="none"/>
          <w:lang w:eastAsia="zh-CN"/>
        </w:rPr>
        <w:t>报告</w:t>
      </w:r>
      <w:r>
        <w:rPr>
          <w:rFonts w:hint="eastAsia" w:ascii="宋体" w:hAnsi="宋体" w:eastAsia="宋体" w:cs="宋体"/>
          <w:spacing w:val="0"/>
          <w:sz w:val="24"/>
          <w:szCs w:val="24"/>
          <w:highlight w:val="none"/>
        </w:rPr>
        <w:t>》、《2025年度国土空间规划</w:t>
      </w:r>
      <w:r>
        <w:rPr>
          <w:rFonts w:hint="eastAsia" w:ascii="宋体" w:hAnsi="宋体" w:eastAsia="宋体" w:cs="宋体"/>
          <w:spacing w:val="0"/>
          <w:sz w:val="24"/>
          <w:szCs w:val="24"/>
          <w:highlight w:val="none"/>
          <w:lang w:eastAsia="zh-CN"/>
        </w:rPr>
        <w:t>体检</w:t>
      </w:r>
      <w:r>
        <w:rPr>
          <w:rFonts w:hint="eastAsia" w:ascii="宋体" w:hAnsi="宋体" w:eastAsia="宋体" w:cs="宋体"/>
          <w:spacing w:val="0"/>
          <w:sz w:val="24"/>
          <w:szCs w:val="24"/>
          <w:highlight w:val="none"/>
        </w:rPr>
        <w:t>评估工作内容专题研究</w:t>
      </w:r>
      <w:r>
        <w:rPr>
          <w:rFonts w:hint="eastAsia" w:ascii="宋体" w:hAnsi="宋体" w:eastAsia="宋体" w:cs="宋体"/>
          <w:spacing w:val="0"/>
          <w:sz w:val="24"/>
          <w:szCs w:val="24"/>
          <w:highlight w:val="none"/>
          <w:lang w:eastAsia="zh-CN"/>
        </w:rPr>
        <w:t>报告</w:t>
      </w:r>
      <w:r>
        <w:rPr>
          <w:rFonts w:hint="eastAsia" w:ascii="宋体" w:hAnsi="宋体" w:eastAsia="宋体" w:cs="宋体"/>
          <w:spacing w:val="0"/>
          <w:sz w:val="24"/>
          <w:szCs w:val="24"/>
          <w:highlight w:val="none"/>
        </w:rPr>
        <w:t>》。内容要</w:t>
      </w:r>
      <w:r>
        <w:rPr>
          <w:rFonts w:hint="eastAsia" w:ascii="宋体" w:hAnsi="宋体" w:eastAsia="宋体" w:cs="宋体"/>
          <w:spacing w:val="0"/>
          <w:sz w:val="24"/>
          <w:szCs w:val="24"/>
          <w:highlight w:val="none"/>
          <w:lang w:eastAsia="zh-CN"/>
        </w:rPr>
        <w:t>聚焦规划实施的关键变量和核心任务，</w:t>
      </w:r>
      <w:r>
        <w:rPr>
          <w:rFonts w:hint="eastAsia" w:ascii="宋体" w:hAnsi="宋体" w:eastAsia="宋体" w:cs="宋体"/>
          <w:spacing w:val="0"/>
          <w:sz w:val="24"/>
          <w:szCs w:val="24"/>
          <w:highlight w:val="none"/>
        </w:rPr>
        <w:t>对城市体检指标数据进行全面、深入、客观地分析评价，从多个角度综合评估城市生命体征状况和建设发展质量</w:t>
      </w:r>
      <w:r>
        <w:rPr>
          <w:rFonts w:hint="eastAsia" w:ascii="宋体" w:hAnsi="宋体" w:eastAsia="宋体" w:cs="宋体"/>
          <w:spacing w:val="0"/>
          <w:sz w:val="24"/>
          <w:szCs w:val="24"/>
          <w:highlight w:val="none"/>
          <w:lang w:eastAsia="zh-CN"/>
        </w:rPr>
        <w:t>，对国土空间总体规划实施情况进行的年度监测和评价</w:t>
      </w:r>
      <w:r>
        <w:rPr>
          <w:rFonts w:hint="eastAsia" w:ascii="宋体" w:hAnsi="宋体" w:eastAsia="宋体" w:cs="宋体"/>
          <w:spacing w:val="0"/>
          <w:sz w:val="24"/>
          <w:szCs w:val="24"/>
          <w:highlight w:val="none"/>
        </w:rPr>
        <w:t>。重点聚焦于查找影响城市竞争力、承载力和可持续发展的短板弱项，精准找出阻碍城市发展的“症结”。客观公正地分析评价城市人居环境质量及存在的问题，并依据分析结果，提出具有针对性、可操作性的“城市病”治理对策建议。</w:t>
      </w:r>
    </w:p>
    <w:p w14:paraId="207F38AD">
      <w:pPr>
        <w:widowControl/>
        <w:spacing w:line="480" w:lineRule="exact"/>
        <w:ind w:right="96" w:firstLine="480" w:firstLineChars="200"/>
        <w:jc w:val="left"/>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形成的全面、详实、精准的成果报告及与成果对应</w:t>
      </w:r>
      <w:r>
        <w:rPr>
          <w:rFonts w:hint="eastAsia" w:ascii="宋体" w:hAnsi="宋体" w:eastAsia="宋体" w:cs="宋体"/>
          <w:spacing w:val="0"/>
          <w:sz w:val="24"/>
          <w:szCs w:val="24"/>
          <w:highlight w:val="none"/>
          <w:lang w:eastAsia="zh-CN"/>
        </w:rPr>
        <w:t>且</w:t>
      </w:r>
      <w:r>
        <w:rPr>
          <w:rFonts w:hint="eastAsia" w:ascii="宋体" w:hAnsi="宋体" w:eastAsia="宋体" w:cs="宋体"/>
          <w:spacing w:val="0"/>
          <w:sz w:val="24"/>
          <w:szCs w:val="24"/>
          <w:highlight w:val="none"/>
        </w:rPr>
        <w:t>满足国土空间</w:t>
      </w:r>
      <w:r>
        <w:rPr>
          <w:rFonts w:hint="eastAsia" w:ascii="宋体" w:hAnsi="宋体" w:eastAsia="宋体" w:cs="宋体"/>
          <w:spacing w:val="0"/>
          <w:sz w:val="24"/>
          <w:szCs w:val="24"/>
          <w:highlight w:val="none"/>
          <w:lang w:eastAsia="zh-CN"/>
        </w:rPr>
        <w:t>规划</w:t>
      </w:r>
      <w:r>
        <w:rPr>
          <w:rFonts w:hint="eastAsia" w:ascii="宋体" w:hAnsi="宋体" w:eastAsia="宋体" w:cs="宋体"/>
          <w:spacing w:val="0"/>
          <w:sz w:val="24"/>
          <w:szCs w:val="24"/>
          <w:highlight w:val="none"/>
        </w:rPr>
        <w:t>“一张图”实施监督信息系统要求的</w:t>
      </w:r>
      <w:r>
        <w:rPr>
          <w:rFonts w:hint="eastAsia" w:ascii="宋体" w:hAnsi="宋体" w:eastAsia="宋体" w:cs="宋体"/>
          <w:spacing w:val="0"/>
          <w:sz w:val="24"/>
          <w:szCs w:val="24"/>
          <w:highlight w:val="none"/>
          <w:lang w:eastAsia="zh-CN"/>
        </w:rPr>
        <w:t>体检评估</w:t>
      </w:r>
      <w:r>
        <w:rPr>
          <w:rFonts w:hint="eastAsia" w:ascii="宋体" w:hAnsi="宋体" w:eastAsia="宋体" w:cs="宋体"/>
          <w:spacing w:val="0"/>
          <w:sz w:val="24"/>
          <w:szCs w:val="24"/>
          <w:highlight w:val="none"/>
        </w:rPr>
        <w:t>数据库</w:t>
      </w:r>
      <w:r>
        <w:rPr>
          <w:rFonts w:hint="eastAsia" w:ascii="宋体" w:hAnsi="宋体" w:eastAsia="宋体" w:cs="宋体"/>
          <w:spacing w:val="0"/>
          <w:sz w:val="24"/>
          <w:szCs w:val="24"/>
          <w:highlight w:val="none"/>
          <w:lang w:eastAsia="zh-CN"/>
        </w:rPr>
        <w:t>，并在</w:t>
      </w:r>
      <w:r>
        <w:rPr>
          <w:rFonts w:hint="eastAsia" w:ascii="宋体" w:hAnsi="宋体" w:eastAsia="宋体" w:cs="宋体"/>
          <w:spacing w:val="0"/>
          <w:sz w:val="24"/>
          <w:szCs w:val="24"/>
          <w:highlight w:val="none"/>
        </w:rPr>
        <w:t>国土空间</w:t>
      </w:r>
      <w:r>
        <w:rPr>
          <w:rFonts w:hint="eastAsia" w:ascii="宋体" w:hAnsi="宋体" w:eastAsia="宋体" w:cs="宋体"/>
          <w:spacing w:val="0"/>
          <w:sz w:val="24"/>
          <w:szCs w:val="24"/>
          <w:highlight w:val="none"/>
          <w:lang w:eastAsia="zh-CN"/>
        </w:rPr>
        <w:t>规划</w:t>
      </w:r>
      <w:r>
        <w:rPr>
          <w:rFonts w:hint="eastAsia" w:ascii="宋体" w:hAnsi="宋体" w:eastAsia="宋体" w:cs="宋体"/>
          <w:spacing w:val="0"/>
          <w:sz w:val="24"/>
          <w:szCs w:val="24"/>
          <w:highlight w:val="none"/>
        </w:rPr>
        <w:t>“一张图”实施监督信息系统</w:t>
      </w:r>
      <w:r>
        <w:rPr>
          <w:rFonts w:hint="eastAsia" w:ascii="宋体" w:hAnsi="宋体" w:eastAsia="宋体" w:cs="宋体"/>
          <w:spacing w:val="0"/>
          <w:sz w:val="24"/>
          <w:szCs w:val="24"/>
          <w:highlight w:val="none"/>
          <w:lang w:eastAsia="zh-CN"/>
        </w:rPr>
        <w:t>上实现体检成果线上展示，体检指标差异对比、趋势研判、横向比较、空间分析等可视化应用</w:t>
      </w:r>
      <w:r>
        <w:rPr>
          <w:rFonts w:hint="eastAsia" w:ascii="宋体" w:hAnsi="宋体" w:eastAsia="宋体" w:cs="宋体"/>
          <w:spacing w:val="0"/>
          <w:sz w:val="24"/>
          <w:szCs w:val="24"/>
          <w:highlight w:val="none"/>
        </w:rPr>
        <w:t>。提交形式包括：纸质版和电子版。</w:t>
      </w:r>
    </w:p>
    <w:p w14:paraId="38FC7DBF">
      <w:pPr>
        <w:widowControl/>
        <w:spacing w:line="480" w:lineRule="exact"/>
        <w:ind w:right="96" w:firstLine="480" w:firstLineChars="200"/>
        <w:jc w:val="left"/>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纸质成果要求：报告</w:t>
      </w:r>
      <w:r>
        <w:rPr>
          <w:rFonts w:hint="eastAsia" w:ascii="宋体" w:hAnsi="宋体" w:eastAsia="宋体" w:cs="宋体"/>
          <w:spacing w:val="0"/>
          <w:sz w:val="24"/>
          <w:szCs w:val="24"/>
          <w:highlight w:val="none"/>
          <w:lang w:eastAsia="zh-CN"/>
        </w:rPr>
        <w:t>及必要图件</w:t>
      </w:r>
      <w:r>
        <w:rPr>
          <w:rFonts w:hint="eastAsia" w:ascii="宋体" w:hAnsi="宋体" w:eastAsia="宋体" w:cs="宋体"/>
          <w:spacing w:val="0"/>
          <w:sz w:val="24"/>
          <w:szCs w:val="24"/>
          <w:highlight w:val="none"/>
        </w:rPr>
        <w:t>，加盖公章/技术成果章，图面字体清晰，一式六份。</w:t>
      </w:r>
    </w:p>
    <w:p w14:paraId="7BA17340">
      <w:pPr>
        <w:widowControl/>
        <w:spacing w:line="480" w:lineRule="exact"/>
        <w:ind w:right="96" w:firstLine="480" w:firstLineChars="200"/>
        <w:jc w:val="left"/>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电子成果要求：最终成果提供U盘2个，U盘贴标签：注明项目名称、完成时间。电子成果与上述纸质成果相对应，文本文件采用word和pdf格式，数据库</w:t>
      </w:r>
      <w:r>
        <w:rPr>
          <w:rFonts w:hint="eastAsia" w:ascii="宋体" w:hAnsi="宋体" w:eastAsia="宋体" w:cs="宋体"/>
          <w:spacing w:val="0"/>
          <w:sz w:val="24"/>
          <w:szCs w:val="24"/>
          <w:highlight w:val="none"/>
          <w:lang w:eastAsia="zh-CN"/>
        </w:rPr>
        <w:t>文件采用</w:t>
      </w:r>
      <w:r>
        <w:rPr>
          <w:rFonts w:hint="eastAsia" w:ascii="宋体" w:hAnsi="宋体" w:eastAsia="宋体" w:cs="宋体"/>
          <w:spacing w:val="0"/>
          <w:sz w:val="24"/>
          <w:szCs w:val="24"/>
          <w:highlight w:val="none"/>
        </w:rPr>
        <w:t>.gdb格式</w:t>
      </w:r>
      <w:r>
        <w:rPr>
          <w:rFonts w:hint="eastAsia" w:ascii="宋体" w:hAnsi="宋体" w:eastAsia="宋体" w:cs="宋体"/>
          <w:spacing w:val="0"/>
          <w:sz w:val="24"/>
          <w:szCs w:val="24"/>
          <w:highlight w:val="none"/>
          <w:lang w:eastAsia="zh-CN"/>
        </w:rPr>
        <w:t>，体检成果线上展示及体检指标可视化应用证明材料采用</w:t>
      </w:r>
      <w:r>
        <w:rPr>
          <w:rFonts w:hint="eastAsia" w:ascii="宋体" w:hAnsi="宋体" w:eastAsia="宋体" w:cs="宋体"/>
          <w:spacing w:val="0"/>
          <w:sz w:val="24"/>
          <w:szCs w:val="24"/>
          <w:highlight w:val="none"/>
          <w:lang w:val="en-US" w:eastAsia="zh-CN"/>
        </w:rPr>
        <w:t>.mp4格式</w:t>
      </w:r>
      <w:r>
        <w:rPr>
          <w:rFonts w:hint="eastAsia" w:ascii="宋体" w:hAnsi="宋体" w:eastAsia="宋体" w:cs="宋体"/>
          <w:spacing w:val="0"/>
          <w:sz w:val="24"/>
          <w:szCs w:val="24"/>
          <w:highlight w:val="none"/>
        </w:rPr>
        <w:t>。</w:t>
      </w:r>
    </w:p>
    <w:p w14:paraId="480FA54C">
      <w:pPr>
        <w:keepNext w:val="0"/>
        <w:keepLines w:val="0"/>
        <w:pageBreakBefore w:val="0"/>
        <w:widowControl/>
        <w:kinsoku/>
        <w:wordWrap/>
        <w:overflowPunct/>
        <w:topLinePunct w:val="0"/>
        <w:bidi w:val="0"/>
        <w:snapToGrid/>
        <w:spacing w:line="48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第四条：服务内容与质量标准</w:t>
      </w:r>
    </w:p>
    <w:p w14:paraId="3D37203C">
      <w:pPr>
        <w:keepNext w:val="0"/>
        <w:keepLines w:val="0"/>
        <w:pageBreakBefore w:val="0"/>
        <w:widowControl/>
        <w:kinsoku/>
        <w:wordWrap/>
        <w:overflowPunct/>
        <w:topLinePunct w:val="0"/>
        <w:bidi w:val="0"/>
        <w:snapToGrid/>
        <w:spacing w:line="480" w:lineRule="exact"/>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1.服务内容</w:t>
      </w:r>
    </w:p>
    <w:p w14:paraId="0A174B31">
      <w:pPr>
        <w:keepNext w:val="0"/>
        <w:keepLines w:val="0"/>
        <w:pageBreakBefore w:val="0"/>
        <w:widowControl/>
        <w:kinsoku/>
        <w:wordWrap/>
        <w:overflowPunct/>
        <w:topLinePunct w:val="0"/>
        <w:bidi w:val="0"/>
        <w:snapToGrid/>
        <w:spacing w:line="480" w:lineRule="exact"/>
        <w:ind w:firstLine="720" w:firstLineChars="3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1.1规划范围</w:t>
      </w:r>
    </w:p>
    <w:p w14:paraId="77BC4037">
      <w:pPr>
        <w:pStyle w:val="3"/>
        <w:keepNext w:val="0"/>
        <w:keepLines w:val="0"/>
        <w:pageBreakBefore w:val="0"/>
        <w:widowControl/>
        <w:kinsoku/>
        <w:wordWrap/>
        <w:overflowPunct/>
        <w:topLinePunct w:val="0"/>
        <w:bidi w:val="0"/>
        <w:snapToGrid/>
        <w:spacing w:line="480" w:lineRule="exact"/>
        <w:ind w:firstLine="720" w:firstLineChars="3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西安市域。</w:t>
      </w:r>
    </w:p>
    <w:p w14:paraId="157CD60F">
      <w:pPr>
        <w:keepNext w:val="0"/>
        <w:keepLines w:val="0"/>
        <w:pageBreakBefore w:val="0"/>
        <w:widowControl/>
        <w:tabs>
          <w:tab w:val="left" w:pos="4032"/>
        </w:tabs>
        <w:kinsoku/>
        <w:wordWrap/>
        <w:overflowPunct/>
        <w:topLinePunct w:val="0"/>
        <w:bidi w:val="0"/>
        <w:snapToGrid/>
        <w:spacing w:line="480" w:lineRule="exact"/>
        <w:ind w:firstLine="720" w:firstLineChars="300"/>
        <w:outlineLvl w:val="2"/>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1.2 规划对象</w:t>
      </w:r>
      <w:r>
        <w:rPr>
          <w:rFonts w:hint="eastAsia" w:ascii="宋体" w:hAnsi="宋体" w:eastAsia="宋体" w:cs="宋体"/>
          <w:kern w:val="2"/>
          <w:sz w:val="24"/>
          <w:szCs w:val="24"/>
          <w:highlight w:val="none"/>
          <w:lang w:val="en-US" w:eastAsia="zh-CN" w:bidi="ar-SA"/>
        </w:rPr>
        <w:tab/>
      </w:r>
    </w:p>
    <w:p w14:paraId="05597D9F">
      <w:pPr>
        <w:pStyle w:val="3"/>
        <w:widowControl/>
        <w:shd w:val="clear" w:color="auto" w:fill="FFFFFF"/>
        <w:spacing w:beforeAutospacing="0" w:afterAutospacing="0" w:line="480" w:lineRule="exact"/>
        <w:ind w:right="132" w:firstLine="720" w:firstLineChars="300"/>
        <w:jc w:val="left"/>
        <w:rPr>
          <w:rFonts w:hint="eastAsia" w:ascii="宋体" w:hAnsi="宋体" w:eastAsia="宋体" w:cs="宋体"/>
          <w:kern w:val="2"/>
          <w:sz w:val="24"/>
          <w:szCs w:val="24"/>
          <w:highlight w:val="none"/>
          <w:lang w:eastAsia="zh-CN" w:bidi="ar-SA"/>
        </w:rPr>
      </w:pPr>
      <w:r>
        <w:rPr>
          <w:rFonts w:hint="eastAsia" w:ascii="宋体" w:hAnsi="宋体" w:eastAsia="宋体" w:cs="宋体"/>
          <w:kern w:val="2"/>
          <w:sz w:val="24"/>
          <w:szCs w:val="24"/>
          <w:highlight w:val="none"/>
          <w:lang w:eastAsia="zh-CN" w:bidi="ar-SA"/>
        </w:rPr>
        <w:t>完成《西安市“多检合一”体检评估工作（2024年度）》相关研究及成果编制工作。</w:t>
      </w:r>
    </w:p>
    <w:p w14:paraId="70539696">
      <w:pPr>
        <w:keepNext w:val="0"/>
        <w:keepLines w:val="0"/>
        <w:pageBreakBefore w:val="0"/>
        <w:widowControl/>
        <w:kinsoku/>
        <w:wordWrap/>
        <w:overflowPunct/>
        <w:topLinePunct w:val="0"/>
        <w:bidi w:val="0"/>
        <w:snapToGrid/>
        <w:spacing w:line="480" w:lineRule="exact"/>
        <w:ind w:firstLine="720" w:firstLineChars="300"/>
        <w:outlineLvl w:val="2"/>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1.3 规划期限</w:t>
      </w:r>
    </w:p>
    <w:p w14:paraId="04F747E6">
      <w:pPr>
        <w:spacing w:after="0" w:line="360" w:lineRule="auto"/>
        <w:ind w:firstLine="720" w:firstLineChars="300"/>
        <w:rPr>
          <w:rFonts w:hint="eastAsia" w:ascii="宋体" w:hAnsi="宋体" w:eastAsia="宋体" w:cstheme="minorEastAsia"/>
          <w:sz w:val="24"/>
          <w:highlight w:val="none"/>
        </w:rPr>
      </w:pPr>
      <w:r>
        <w:rPr>
          <w:rFonts w:ascii="宋体" w:hAnsi="宋体" w:eastAsia="宋体" w:cstheme="minorEastAsia"/>
          <w:sz w:val="24"/>
          <w:highlight w:val="none"/>
        </w:rPr>
        <w:t>2026年</w:t>
      </w:r>
      <w:r>
        <w:rPr>
          <w:rFonts w:hint="eastAsia" w:ascii="宋体" w:hAnsi="宋体" w:eastAsia="宋体" w:cstheme="minorEastAsia"/>
          <w:sz w:val="24"/>
          <w:highlight w:val="none"/>
        </w:rPr>
        <w:t>6</w:t>
      </w:r>
      <w:r>
        <w:rPr>
          <w:rFonts w:ascii="宋体" w:hAnsi="宋体" w:eastAsia="宋体" w:cstheme="minorEastAsia"/>
          <w:sz w:val="24"/>
          <w:highlight w:val="none"/>
        </w:rPr>
        <w:t>月前</w:t>
      </w:r>
      <w:r>
        <w:rPr>
          <w:rFonts w:hint="eastAsia" w:ascii="宋体" w:hAnsi="宋体" w:eastAsia="宋体" w:cstheme="minorEastAsia"/>
          <w:sz w:val="24"/>
          <w:highlight w:val="none"/>
        </w:rPr>
        <w:t>，</w:t>
      </w:r>
      <w:r>
        <w:rPr>
          <w:rFonts w:ascii="宋体" w:hAnsi="宋体" w:eastAsia="宋体" w:cstheme="minorEastAsia"/>
          <w:sz w:val="24"/>
          <w:highlight w:val="none"/>
        </w:rPr>
        <w:t>完成评估报告，并通过专家评审。</w:t>
      </w:r>
    </w:p>
    <w:p w14:paraId="658B0CD4">
      <w:pPr>
        <w:spacing w:after="0" w:line="360" w:lineRule="auto"/>
        <w:ind w:firstLine="720" w:firstLineChars="300"/>
        <w:rPr>
          <w:rFonts w:hint="eastAsia" w:ascii="宋体" w:hAnsi="宋体" w:eastAsia="宋体" w:cstheme="minorEastAsia"/>
          <w:sz w:val="24"/>
          <w:highlight w:val="none"/>
        </w:rPr>
      </w:pPr>
      <w:r>
        <w:rPr>
          <w:rFonts w:ascii="宋体" w:hAnsi="宋体" w:eastAsia="宋体" w:cstheme="minorEastAsia"/>
          <w:sz w:val="24"/>
          <w:highlight w:val="none"/>
        </w:rPr>
        <w:t>2026年</w:t>
      </w:r>
      <w:r>
        <w:rPr>
          <w:rFonts w:hint="eastAsia" w:ascii="宋体" w:hAnsi="宋体" w:eastAsia="宋体" w:cstheme="minorEastAsia"/>
          <w:sz w:val="24"/>
          <w:highlight w:val="none"/>
        </w:rPr>
        <w:t>12</w:t>
      </w:r>
      <w:r>
        <w:rPr>
          <w:rFonts w:ascii="宋体" w:hAnsi="宋体" w:eastAsia="宋体" w:cstheme="minorEastAsia"/>
          <w:sz w:val="24"/>
          <w:highlight w:val="none"/>
        </w:rPr>
        <w:t>月前，</w:t>
      </w:r>
      <w:r>
        <w:rPr>
          <w:rFonts w:hint="eastAsia" w:ascii="宋体" w:hAnsi="宋体" w:eastAsia="宋体" w:cstheme="minorEastAsia"/>
          <w:sz w:val="24"/>
          <w:highlight w:val="none"/>
        </w:rPr>
        <w:t>完善</w:t>
      </w:r>
      <w:r>
        <w:rPr>
          <w:rFonts w:ascii="宋体" w:hAnsi="宋体" w:eastAsia="宋体" w:cstheme="minorEastAsia"/>
          <w:sz w:val="24"/>
          <w:highlight w:val="none"/>
        </w:rPr>
        <w:t>评估</w:t>
      </w:r>
      <w:r>
        <w:rPr>
          <w:rFonts w:hint="eastAsia" w:ascii="宋体" w:hAnsi="宋体" w:eastAsia="宋体" w:cstheme="minorEastAsia"/>
          <w:sz w:val="24"/>
          <w:highlight w:val="none"/>
        </w:rPr>
        <w:t>报告</w:t>
      </w:r>
      <w:r>
        <w:rPr>
          <w:rFonts w:ascii="宋体" w:hAnsi="宋体" w:eastAsia="宋体" w:cstheme="minorEastAsia"/>
          <w:sz w:val="24"/>
          <w:highlight w:val="none"/>
        </w:rPr>
        <w:t>，并通过主管部门验收。</w:t>
      </w:r>
    </w:p>
    <w:p w14:paraId="4B7DA407">
      <w:pPr>
        <w:widowControl/>
        <w:spacing w:line="480" w:lineRule="exact"/>
        <w:ind w:right="96" w:firstLine="720" w:firstLineChars="300"/>
        <w:jc w:val="left"/>
        <w:outlineLvl w:val="2"/>
        <w:rPr>
          <w:rFonts w:hint="eastAsia" w:ascii="宋体" w:hAnsi="宋体" w:eastAsia="宋体" w:cs="宋体"/>
          <w:spacing w:val="-5"/>
          <w:sz w:val="24"/>
          <w:szCs w:val="24"/>
          <w:highlight w:val="none"/>
        </w:rPr>
      </w:pPr>
      <w:r>
        <w:rPr>
          <w:rFonts w:hint="eastAsia" w:ascii="宋体" w:hAnsi="宋体" w:eastAsia="宋体" w:cs="宋体"/>
          <w:kern w:val="2"/>
          <w:sz w:val="24"/>
          <w:szCs w:val="24"/>
          <w:highlight w:val="none"/>
          <w:lang w:val="en-US" w:eastAsia="zh-CN" w:bidi="ar-SA"/>
        </w:rPr>
        <w:t>1.4 规划内容</w:t>
      </w:r>
    </w:p>
    <w:p w14:paraId="5DF5E978">
      <w:pPr>
        <w:pStyle w:val="8"/>
        <w:tabs>
          <w:tab w:val="left" w:pos="1354"/>
        </w:tabs>
        <w:spacing w:after="0" w:line="360" w:lineRule="auto"/>
        <w:ind w:left="0" w:firstLineChars="200"/>
        <w:jc w:val="both"/>
        <w:rPr>
          <w:rFonts w:hint="eastAsia"/>
          <w:color w:val="auto"/>
          <w:sz w:val="24"/>
          <w:szCs w:val="24"/>
        </w:rPr>
      </w:pPr>
      <w:r>
        <w:rPr>
          <w:rFonts w:hint="eastAsia"/>
          <w:color w:val="auto"/>
          <w:sz w:val="24"/>
          <w:szCs w:val="24"/>
        </w:rPr>
        <w:t>根据西安市域国土空间资源情况，严格依据自然资源部、陕西省自然资源厅、西安市自然资源和规划局、西安市住房和城乡建设局的相关要求和技术规定，以及国家相关行业标准和规范，进行西安市“多检合一”体检评估工作（2024年度）相关研究及成果编制工作</w:t>
      </w:r>
      <w:r>
        <w:rPr>
          <w:color w:val="auto"/>
          <w:sz w:val="24"/>
          <w:szCs w:val="24"/>
        </w:rPr>
        <w:t>。</w:t>
      </w:r>
    </w:p>
    <w:p w14:paraId="3BD36F54">
      <w:pPr>
        <w:pStyle w:val="3"/>
        <w:widowControl/>
        <w:spacing w:line="480" w:lineRule="exact"/>
        <w:ind w:right="80" w:firstLine="460" w:firstLineChars="200"/>
        <w:jc w:val="left"/>
        <w:rPr>
          <w:rFonts w:hint="eastAsia" w:ascii="宋体" w:hAnsi="宋体" w:cs="宋体"/>
          <w:spacing w:val="-5"/>
          <w:sz w:val="24"/>
          <w:highlight w:val="none"/>
        </w:rPr>
      </w:pPr>
      <w:r>
        <w:rPr>
          <w:rFonts w:hint="eastAsia" w:ascii="宋体" w:hAnsi="宋体" w:eastAsia="宋体" w:cs="宋体"/>
          <w:spacing w:val="-5"/>
          <w:sz w:val="24"/>
          <w:szCs w:val="24"/>
          <w:highlight w:val="none"/>
        </w:rPr>
        <w:t>完成《西安市“多检合一”评估报告（2024年度）》</w:t>
      </w:r>
      <w:r>
        <w:rPr>
          <w:rFonts w:hint="eastAsia" w:ascii="宋体" w:hAnsi="宋体" w:eastAsia="宋体" w:cs="宋体"/>
          <w:spacing w:val="-5"/>
          <w:sz w:val="24"/>
          <w:szCs w:val="24"/>
          <w:highlight w:val="none"/>
          <w:lang w:eastAsia="zh-CN"/>
        </w:rPr>
        <w:t>、</w:t>
      </w:r>
      <w:r>
        <w:rPr>
          <w:rFonts w:hint="eastAsia" w:ascii="宋体" w:hAnsi="宋体" w:eastAsia="宋体" w:cs="宋体"/>
          <w:spacing w:val="-5"/>
          <w:sz w:val="24"/>
          <w:szCs w:val="24"/>
          <w:highlight w:val="none"/>
        </w:rPr>
        <w:t>《西安市国土空间规划</w:t>
      </w:r>
      <w:r>
        <w:rPr>
          <w:rFonts w:hint="eastAsia" w:ascii="宋体" w:hAnsi="宋体" w:eastAsia="宋体" w:cs="宋体"/>
          <w:spacing w:val="-5"/>
          <w:sz w:val="24"/>
          <w:szCs w:val="24"/>
          <w:highlight w:val="none"/>
          <w:lang w:eastAsia="zh-CN"/>
        </w:rPr>
        <w:t>年度</w:t>
      </w:r>
      <w:r>
        <w:rPr>
          <w:rFonts w:hint="eastAsia" w:ascii="宋体" w:hAnsi="宋体" w:eastAsia="宋体" w:cs="宋体"/>
          <w:spacing w:val="-5"/>
          <w:sz w:val="24"/>
          <w:szCs w:val="24"/>
          <w:highlight w:val="none"/>
        </w:rPr>
        <w:t>体检评估</w:t>
      </w:r>
      <w:r>
        <w:rPr>
          <w:rFonts w:hint="eastAsia" w:ascii="宋体" w:hAnsi="宋体" w:eastAsia="宋体" w:cs="宋体"/>
          <w:spacing w:val="-5"/>
          <w:sz w:val="24"/>
          <w:szCs w:val="24"/>
          <w:highlight w:val="none"/>
          <w:lang w:eastAsia="zh-CN"/>
        </w:rPr>
        <w:t>报告</w:t>
      </w:r>
      <w:r>
        <w:rPr>
          <w:rFonts w:hint="eastAsia" w:ascii="宋体" w:hAnsi="宋体" w:eastAsia="宋体" w:cs="宋体"/>
          <w:spacing w:val="-5"/>
          <w:sz w:val="24"/>
          <w:szCs w:val="24"/>
          <w:highlight w:val="none"/>
        </w:rPr>
        <w:t>》、《西安市城市体检</w:t>
      </w:r>
      <w:r>
        <w:rPr>
          <w:rFonts w:hint="eastAsia" w:ascii="宋体" w:hAnsi="宋体" w:eastAsia="宋体" w:cs="宋体"/>
          <w:spacing w:val="-5"/>
          <w:sz w:val="24"/>
          <w:szCs w:val="24"/>
          <w:highlight w:val="none"/>
          <w:lang w:eastAsia="zh-CN"/>
        </w:rPr>
        <w:t>报告</w:t>
      </w:r>
      <w:r>
        <w:rPr>
          <w:rFonts w:hint="eastAsia" w:ascii="宋体" w:hAnsi="宋体" w:eastAsia="宋体" w:cs="宋体"/>
          <w:spacing w:val="-5"/>
          <w:sz w:val="24"/>
          <w:szCs w:val="24"/>
          <w:highlight w:val="none"/>
        </w:rPr>
        <w:t>》</w:t>
      </w:r>
      <w:r>
        <w:rPr>
          <w:rFonts w:hint="eastAsia" w:ascii="宋体" w:hAnsi="宋体" w:eastAsia="宋体" w:cs="宋体"/>
          <w:spacing w:val="-5"/>
          <w:sz w:val="24"/>
          <w:szCs w:val="24"/>
          <w:highlight w:val="none"/>
          <w:lang w:eastAsia="zh-CN"/>
        </w:rPr>
        <w:t>，</w:t>
      </w:r>
      <w:r>
        <w:rPr>
          <w:rFonts w:hint="eastAsia" w:ascii="宋体" w:hAnsi="宋体" w:eastAsia="宋体" w:cs="宋体"/>
          <w:spacing w:val="-5"/>
          <w:sz w:val="24"/>
          <w:szCs w:val="24"/>
          <w:highlight w:val="none"/>
        </w:rPr>
        <w:t>同时形成《永久基本农田布局优化调整专题研究</w:t>
      </w:r>
      <w:r>
        <w:rPr>
          <w:rFonts w:hint="eastAsia" w:ascii="宋体" w:hAnsi="宋体" w:eastAsia="宋体" w:cs="宋体"/>
          <w:spacing w:val="-5"/>
          <w:sz w:val="24"/>
          <w:szCs w:val="24"/>
          <w:highlight w:val="none"/>
          <w:lang w:eastAsia="zh-CN"/>
        </w:rPr>
        <w:t>报告</w:t>
      </w:r>
      <w:r>
        <w:rPr>
          <w:rFonts w:hint="eastAsia" w:ascii="宋体" w:hAnsi="宋体" w:eastAsia="宋体" w:cs="宋体"/>
          <w:spacing w:val="-5"/>
          <w:sz w:val="24"/>
          <w:szCs w:val="24"/>
          <w:highlight w:val="none"/>
        </w:rPr>
        <w:t>》、《2025年度国土空间规划</w:t>
      </w:r>
      <w:r>
        <w:rPr>
          <w:rFonts w:hint="eastAsia" w:ascii="宋体" w:hAnsi="宋体" w:eastAsia="宋体" w:cs="宋体"/>
          <w:spacing w:val="-5"/>
          <w:sz w:val="24"/>
          <w:szCs w:val="24"/>
          <w:highlight w:val="none"/>
          <w:lang w:eastAsia="zh-CN"/>
        </w:rPr>
        <w:t>体检</w:t>
      </w:r>
      <w:r>
        <w:rPr>
          <w:rFonts w:hint="eastAsia" w:ascii="宋体" w:hAnsi="宋体" w:eastAsia="宋体" w:cs="宋体"/>
          <w:spacing w:val="-5"/>
          <w:sz w:val="24"/>
          <w:szCs w:val="24"/>
          <w:highlight w:val="none"/>
        </w:rPr>
        <w:t>评估工作内容专题研究</w:t>
      </w:r>
      <w:r>
        <w:rPr>
          <w:rFonts w:hint="eastAsia" w:ascii="宋体" w:hAnsi="宋体" w:eastAsia="宋体" w:cs="宋体"/>
          <w:spacing w:val="-5"/>
          <w:sz w:val="24"/>
          <w:szCs w:val="24"/>
          <w:highlight w:val="none"/>
          <w:lang w:eastAsia="zh-CN"/>
        </w:rPr>
        <w:t>报告</w:t>
      </w:r>
      <w:r>
        <w:rPr>
          <w:rFonts w:hint="eastAsia" w:ascii="宋体" w:hAnsi="宋体" w:eastAsia="宋体" w:cs="宋体"/>
          <w:spacing w:val="-5"/>
          <w:sz w:val="24"/>
          <w:szCs w:val="24"/>
          <w:highlight w:val="none"/>
        </w:rPr>
        <w:t>》。内容要</w:t>
      </w:r>
      <w:r>
        <w:rPr>
          <w:rFonts w:hint="eastAsia" w:ascii="宋体" w:hAnsi="宋体" w:eastAsia="宋体" w:cs="宋体"/>
          <w:spacing w:val="-5"/>
          <w:sz w:val="24"/>
          <w:szCs w:val="24"/>
          <w:highlight w:val="none"/>
          <w:lang w:eastAsia="zh-CN"/>
        </w:rPr>
        <w:t>聚焦规划实施的关键变量和核心任务，</w:t>
      </w:r>
      <w:r>
        <w:rPr>
          <w:rFonts w:hint="eastAsia" w:ascii="宋体" w:hAnsi="宋体" w:eastAsia="宋体" w:cs="宋体"/>
          <w:spacing w:val="-5"/>
          <w:sz w:val="24"/>
          <w:szCs w:val="24"/>
          <w:highlight w:val="none"/>
        </w:rPr>
        <w:t>对城市体检指标数据进行全面、深入、客观地分析评价，从多个角度综合评估城市生命体征状况和建设发展质量</w:t>
      </w:r>
      <w:r>
        <w:rPr>
          <w:rFonts w:hint="eastAsia" w:ascii="宋体" w:hAnsi="宋体" w:eastAsia="宋体" w:cs="宋体"/>
          <w:spacing w:val="-5"/>
          <w:sz w:val="24"/>
          <w:szCs w:val="24"/>
          <w:highlight w:val="none"/>
          <w:lang w:eastAsia="zh-CN"/>
        </w:rPr>
        <w:t>，对国土空间总体规划实施情况进行的年度监测和评价</w:t>
      </w:r>
      <w:r>
        <w:rPr>
          <w:rFonts w:hint="eastAsia" w:ascii="宋体" w:hAnsi="宋体" w:eastAsia="宋体" w:cs="宋体"/>
          <w:spacing w:val="-5"/>
          <w:sz w:val="24"/>
          <w:szCs w:val="24"/>
          <w:highlight w:val="none"/>
        </w:rPr>
        <w:t>。重点聚焦于查找影响城市竞争力、承载力和可持续发展的短板弱项，精准找出阻碍城市发展的“症结”。客观公正地分析评价城市人居环境质量及存在的问题，并依据分析结果，提出具有针对性、可操作性的“城市病”治理对策建议。</w:t>
      </w:r>
    </w:p>
    <w:p w14:paraId="75D9CB5C">
      <w:pPr>
        <w:pStyle w:val="3"/>
        <w:keepNext w:val="0"/>
        <w:keepLines w:val="0"/>
        <w:pageBreakBefore w:val="0"/>
        <w:widowControl/>
        <w:kinsoku/>
        <w:wordWrap/>
        <w:overflowPunct/>
        <w:topLinePunct w:val="0"/>
        <w:bidi w:val="0"/>
        <w:snapToGrid/>
        <w:spacing w:line="480" w:lineRule="exact"/>
        <w:ind w:right="80" w:firstLine="46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pacing w:val="-5"/>
          <w:sz w:val="24"/>
          <w:szCs w:val="24"/>
          <w:highlight w:val="none"/>
        </w:rPr>
        <w:t>形成的全面、详实、精准的成果报告及与成果对应</w:t>
      </w:r>
      <w:r>
        <w:rPr>
          <w:rFonts w:hint="eastAsia" w:ascii="宋体" w:hAnsi="宋体" w:eastAsia="宋体" w:cs="宋体"/>
          <w:spacing w:val="-5"/>
          <w:sz w:val="24"/>
          <w:szCs w:val="24"/>
          <w:highlight w:val="none"/>
          <w:lang w:eastAsia="zh-CN"/>
        </w:rPr>
        <w:t>且</w:t>
      </w:r>
      <w:r>
        <w:rPr>
          <w:rFonts w:hint="eastAsia" w:ascii="宋体" w:hAnsi="宋体" w:eastAsia="宋体" w:cs="宋体"/>
          <w:spacing w:val="-5"/>
          <w:sz w:val="24"/>
          <w:szCs w:val="24"/>
          <w:highlight w:val="none"/>
        </w:rPr>
        <w:t>满足国土空间</w:t>
      </w:r>
      <w:r>
        <w:rPr>
          <w:rFonts w:hint="eastAsia" w:ascii="宋体" w:hAnsi="宋体" w:eastAsia="宋体" w:cs="宋体"/>
          <w:spacing w:val="-5"/>
          <w:sz w:val="24"/>
          <w:szCs w:val="24"/>
          <w:highlight w:val="none"/>
          <w:lang w:eastAsia="zh-CN"/>
        </w:rPr>
        <w:t>规划</w:t>
      </w:r>
      <w:r>
        <w:rPr>
          <w:rFonts w:hint="eastAsia" w:ascii="宋体" w:hAnsi="宋体" w:eastAsia="宋体" w:cs="宋体"/>
          <w:spacing w:val="-5"/>
          <w:sz w:val="24"/>
          <w:szCs w:val="24"/>
          <w:highlight w:val="none"/>
        </w:rPr>
        <w:t>“一张图”实施监督信息系统要求的</w:t>
      </w:r>
      <w:r>
        <w:rPr>
          <w:rFonts w:hint="eastAsia" w:ascii="宋体" w:hAnsi="宋体" w:eastAsia="宋体" w:cs="宋体"/>
          <w:spacing w:val="-5"/>
          <w:sz w:val="24"/>
          <w:szCs w:val="24"/>
          <w:highlight w:val="none"/>
          <w:lang w:eastAsia="zh-CN"/>
        </w:rPr>
        <w:t>体检评估</w:t>
      </w:r>
      <w:r>
        <w:rPr>
          <w:rFonts w:hint="eastAsia" w:ascii="宋体" w:hAnsi="宋体" w:eastAsia="宋体" w:cs="宋体"/>
          <w:spacing w:val="-5"/>
          <w:sz w:val="24"/>
          <w:szCs w:val="24"/>
          <w:highlight w:val="none"/>
        </w:rPr>
        <w:t>数据库</w:t>
      </w:r>
      <w:r>
        <w:rPr>
          <w:rFonts w:hint="eastAsia" w:ascii="宋体" w:hAnsi="宋体" w:eastAsia="宋体" w:cs="宋体"/>
          <w:spacing w:val="-5"/>
          <w:sz w:val="24"/>
          <w:szCs w:val="24"/>
          <w:highlight w:val="none"/>
          <w:lang w:eastAsia="zh-CN"/>
        </w:rPr>
        <w:t>，并在</w:t>
      </w:r>
      <w:r>
        <w:rPr>
          <w:rFonts w:hint="eastAsia" w:ascii="宋体" w:hAnsi="宋体" w:eastAsia="宋体" w:cs="宋体"/>
          <w:spacing w:val="-5"/>
          <w:sz w:val="24"/>
          <w:szCs w:val="24"/>
          <w:highlight w:val="none"/>
        </w:rPr>
        <w:t>国土空间</w:t>
      </w:r>
      <w:r>
        <w:rPr>
          <w:rFonts w:hint="eastAsia" w:ascii="宋体" w:hAnsi="宋体" w:eastAsia="宋体" w:cs="宋体"/>
          <w:spacing w:val="-5"/>
          <w:sz w:val="24"/>
          <w:szCs w:val="24"/>
          <w:highlight w:val="none"/>
          <w:lang w:eastAsia="zh-CN"/>
        </w:rPr>
        <w:t>规划</w:t>
      </w:r>
      <w:r>
        <w:rPr>
          <w:rFonts w:hint="eastAsia" w:ascii="宋体" w:hAnsi="宋体" w:eastAsia="宋体" w:cs="宋体"/>
          <w:spacing w:val="-5"/>
          <w:sz w:val="24"/>
          <w:szCs w:val="24"/>
          <w:highlight w:val="none"/>
        </w:rPr>
        <w:t>“一张图”实施监督信息系统</w:t>
      </w:r>
      <w:r>
        <w:rPr>
          <w:rFonts w:hint="eastAsia" w:ascii="宋体" w:hAnsi="宋体" w:eastAsia="宋体" w:cs="宋体"/>
          <w:spacing w:val="-5"/>
          <w:sz w:val="24"/>
          <w:szCs w:val="24"/>
          <w:highlight w:val="none"/>
          <w:lang w:eastAsia="zh-CN"/>
        </w:rPr>
        <w:t>上实现体检成果线上展示，体检指标差异对比、趋势研判、横向比较、空间分析等可视化应用</w:t>
      </w:r>
      <w:r>
        <w:rPr>
          <w:rFonts w:hint="eastAsia" w:ascii="宋体" w:hAnsi="宋体" w:eastAsia="宋体" w:cs="宋体"/>
          <w:spacing w:val="-5"/>
          <w:sz w:val="24"/>
          <w:szCs w:val="24"/>
          <w:highlight w:val="none"/>
        </w:rPr>
        <w:t>。提交形式包括：纸质版和电子版。</w:t>
      </w:r>
    </w:p>
    <w:p w14:paraId="0B3AD82C">
      <w:pPr>
        <w:keepNext w:val="0"/>
        <w:keepLines w:val="0"/>
        <w:pageBreakBefore w:val="0"/>
        <w:widowControl/>
        <w:kinsoku/>
        <w:wordWrap/>
        <w:overflowPunct/>
        <w:topLinePunct w:val="0"/>
        <w:bidi w:val="0"/>
        <w:snapToGrid/>
        <w:spacing w:line="480" w:lineRule="exact"/>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2.质量标准：</w:t>
      </w:r>
    </w:p>
    <w:p w14:paraId="7C4586E2">
      <w:pPr>
        <w:pStyle w:val="3"/>
        <w:keepNext w:val="0"/>
        <w:keepLines w:val="0"/>
        <w:pageBreakBefore w:val="0"/>
        <w:widowControl/>
        <w:kinsoku/>
        <w:wordWrap/>
        <w:overflowPunct/>
        <w:topLinePunct w:val="0"/>
        <w:bidi w:val="0"/>
        <w:snapToGrid/>
        <w:spacing w:line="480" w:lineRule="exact"/>
        <w:ind w:right="80" w:firstLine="460" w:firstLineChars="200"/>
        <w:jc w:val="left"/>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成果质量符合自然资源部、陕西省政府、陕西省自然资源厅、西安市政府、西安市自然资源和规划局的相关要求，并通过采购人</w:t>
      </w:r>
      <w:r>
        <w:rPr>
          <w:rFonts w:hint="eastAsia" w:ascii="宋体" w:hAnsi="宋体" w:eastAsia="宋体" w:cs="宋体"/>
          <w:spacing w:val="-9"/>
          <w:sz w:val="24"/>
          <w:szCs w:val="24"/>
          <w:highlight w:val="none"/>
        </w:rPr>
        <w:t>组织的专家论证或评估会。</w:t>
      </w:r>
    </w:p>
    <w:p w14:paraId="717D30BE">
      <w:pPr>
        <w:keepNext w:val="0"/>
        <w:keepLines w:val="0"/>
        <w:pageBreakBefore w:val="0"/>
        <w:widowControl/>
        <w:kinsoku/>
        <w:wordWrap/>
        <w:overflowPunct/>
        <w:topLinePunct w:val="0"/>
        <w:bidi w:val="0"/>
        <w:snapToGrid/>
        <w:spacing w:line="480" w:lineRule="exact"/>
        <w:ind w:firstLine="482" w:firstLineChars="20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第五条：服务费用</w:t>
      </w:r>
      <w:r>
        <w:rPr>
          <w:rFonts w:hint="eastAsia" w:ascii="宋体" w:hAnsi="宋体" w:cs="宋体"/>
          <w:b/>
          <w:bCs/>
          <w:sz w:val="24"/>
          <w:szCs w:val="24"/>
          <w:highlight w:val="none"/>
          <w:lang w:eastAsia="zh-CN"/>
        </w:rPr>
        <w:t>及支付方式</w:t>
      </w:r>
    </w:p>
    <w:p w14:paraId="266CE8FD">
      <w:pPr>
        <w:keepNext w:val="0"/>
        <w:keepLines w:val="0"/>
        <w:pageBreakBefore w:val="0"/>
        <w:widowControl/>
        <w:numPr>
          <w:ilvl w:val="0"/>
          <w:numId w:val="1"/>
        </w:numPr>
        <w:kinsoku/>
        <w:wordWrap/>
        <w:overflowPunct/>
        <w:topLinePunct w:val="0"/>
        <w:bidi w:val="0"/>
        <w:snapToGrid/>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服务总费用（含税价）为人民币（大写）：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p>
    <w:p w14:paraId="231D0296">
      <w:pPr>
        <w:keepNext w:val="0"/>
        <w:keepLines w:val="0"/>
        <w:pageBreakBefore w:val="0"/>
        <w:widowControl/>
        <w:numPr>
          <w:ilvl w:val="0"/>
          <w:numId w:val="2"/>
        </w:numPr>
        <w:kinsoku/>
        <w:wordWrap/>
        <w:overflowPunct/>
        <w:topLinePunct w:val="0"/>
        <w:bidi w:val="0"/>
        <w:snapToGrid/>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合同总价一次性包死，不受市场价格变化和税率变化等因素的影响。</w:t>
      </w:r>
    </w:p>
    <w:p w14:paraId="1C71BE94">
      <w:pPr>
        <w:keepNext w:val="0"/>
        <w:keepLines w:val="0"/>
        <w:pageBreakBefore w:val="0"/>
        <w:widowControl/>
        <w:numPr>
          <w:ilvl w:val="0"/>
          <w:numId w:val="2"/>
        </w:numPr>
        <w:kinsoku/>
        <w:wordWrap/>
        <w:overflowPunct/>
        <w:topLinePunct w:val="0"/>
        <w:bidi w:val="0"/>
        <w:snapToGrid/>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付款</w:t>
      </w:r>
      <w:r>
        <w:rPr>
          <w:rFonts w:hint="eastAsia" w:ascii="宋体" w:hAnsi="宋体" w:cs="宋体"/>
          <w:sz w:val="24"/>
          <w:szCs w:val="24"/>
          <w:highlight w:val="none"/>
          <w:lang w:eastAsia="zh-CN"/>
        </w:rPr>
        <w:t>方式：</w:t>
      </w:r>
      <w:r>
        <w:rPr>
          <w:rFonts w:hint="eastAsia" w:hAnsi="宋体"/>
          <w:sz w:val="24"/>
          <w:szCs w:val="24"/>
        </w:rPr>
        <w:t>由甲方</w:t>
      </w:r>
      <w:r>
        <w:rPr>
          <w:rFonts w:hint="eastAsia" w:hAnsi="宋体"/>
          <w:sz w:val="24"/>
          <w:szCs w:val="24"/>
          <w:u w:val="single"/>
        </w:rPr>
        <w:t>分期</w:t>
      </w:r>
      <w:r>
        <w:rPr>
          <w:rFonts w:hint="eastAsia" w:hAnsi="宋体"/>
          <w:sz w:val="24"/>
          <w:szCs w:val="24"/>
        </w:rPr>
        <w:t>支付</w:t>
      </w:r>
      <w:r>
        <w:rPr>
          <w:rFonts w:hint="eastAsia" w:hAnsi="宋体"/>
          <w:sz w:val="24"/>
          <w:szCs w:val="24"/>
          <w:lang w:eastAsia="zh-CN"/>
        </w:rPr>
        <w:t>给</w:t>
      </w:r>
      <w:r>
        <w:rPr>
          <w:rFonts w:hint="eastAsia" w:hAnsi="宋体"/>
          <w:sz w:val="24"/>
          <w:szCs w:val="24"/>
        </w:rPr>
        <w:t>乙方。</w:t>
      </w:r>
    </w:p>
    <w:p w14:paraId="76D2DBEE">
      <w:pPr>
        <w:keepNext w:val="0"/>
        <w:keepLines w:val="0"/>
        <w:pageBreakBefore w:val="0"/>
        <w:widowControl/>
        <w:kinsoku/>
        <w:wordWrap/>
        <w:overflowPunct/>
        <w:topLinePunct w:val="0"/>
        <w:bidi w:val="0"/>
        <w:snapToGrid/>
        <w:spacing w:line="480" w:lineRule="exact"/>
        <w:ind w:firstLine="480" w:firstLineChars="200"/>
        <w:rPr>
          <w:rFonts w:hint="eastAsia" w:ascii="宋体" w:hAnsi="宋体" w:eastAsia="宋体" w:cs="宋体"/>
          <w:sz w:val="24"/>
          <w:szCs w:val="24"/>
          <w:highlight w:val="none"/>
        </w:rPr>
      </w:pPr>
      <w:r>
        <w:rPr>
          <w:rFonts w:hint="eastAsia" w:ascii="宋体" w:hAnsi="宋体" w:cs="宋体"/>
          <w:kern w:val="2"/>
          <w:sz w:val="24"/>
          <w:szCs w:val="24"/>
          <w:highlight w:val="none"/>
          <w:lang w:val="en-US" w:eastAsia="zh-CN" w:bidi="ar-SA"/>
        </w:rPr>
        <w:t>3</w:t>
      </w:r>
      <w:r>
        <w:rPr>
          <w:rFonts w:hint="eastAsia" w:ascii="宋体" w:hAnsi="宋体" w:eastAsia="宋体" w:cs="宋体"/>
          <w:kern w:val="2"/>
          <w:sz w:val="24"/>
          <w:szCs w:val="24"/>
          <w:highlight w:val="none"/>
          <w:lang w:val="en-US" w:eastAsia="zh-CN" w:bidi="ar-SA"/>
        </w:rPr>
        <w:t>.1 合同签订后10个工作日内，甲方向乙方支付合同总价款的30%；</w:t>
      </w:r>
      <w:r>
        <w:rPr>
          <w:rFonts w:hint="eastAsia" w:ascii="宋体" w:hAnsi="宋体" w:eastAsia="宋体" w:cs="宋体"/>
          <w:sz w:val="24"/>
          <w:szCs w:val="24"/>
          <w:highlight w:val="none"/>
        </w:rPr>
        <w:t>即人民币（大写）</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eastAsia="zh-CN"/>
        </w:rPr>
        <w:t>元</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r>
        <w:rPr>
          <w:rFonts w:hint="eastAsia" w:ascii="宋体" w:hAnsi="宋体" w:cs="宋体"/>
          <w:sz w:val="24"/>
          <w:szCs w:val="24"/>
          <w:highlight w:val="none"/>
          <w:lang w:eastAsia="zh-CN"/>
        </w:rPr>
        <w:t>；</w:t>
      </w:r>
    </w:p>
    <w:p w14:paraId="6C86BA43">
      <w:pPr>
        <w:keepNext w:val="0"/>
        <w:keepLines w:val="0"/>
        <w:pageBreakBefore w:val="0"/>
        <w:widowControl/>
        <w:kinsoku/>
        <w:wordWrap/>
        <w:overflowPunct/>
        <w:topLinePunct w:val="0"/>
        <w:bidi w:val="0"/>
        <w:snapToGrid/>
        <w:spacing w:line="480" w:lineRule="exact"/>
        <w:ind w:firstLine="480" w:firstLineChars="200"/>
        <w:rPr>
          <w:rFonts w:hint="eastAsia" w:ascii="宋体" w:hAnsi="宋体" w:eastAsia="宋体" w:cs="宋体"/>
          <w:sz w:val="24"/>
          <w:szCs w:val="24"/>
          <w:highlight w:val="none"/>
        </w:rPr>
      </w:pPr>
      <w:r>
        <w:rPr>
          <w:rFonts w:hint="eastAsia" w:ascii="宋体" w:hAnsi="宋体" w:cs="宋体"/>
          <w:kern w:val="2"/>
          <w:sz w:val="24"/>
          <w:szCs w:val="24"/>
          <w:highlight w:val="none"/>
          <w:lang w:val="en-US" w:eastAsia="zh-CN" w:bidi="ar-SA"/>
        </w:rPr>
        <w:t>3</w:t>
      </w:r>
      <w:r>
        <w:rPr>
          <w:rFonts w:hint="eastAsia" w:ascii="宋体" w:hAnsi="宋体" w:eastAsia="宋体" w:cs="宋体"/>
          <w:kern w:val="2"/>
          <w:sz w:val="24"/>
          <w:szCs w:val="24"/>
          <w:highlight w:val="none"/>
          <w:lang w:val="en-US" w:eastAsia="zh-CN" w:bidi="ar-SA"/>
        </w:rPr>
        <w:t>.2 初步成果经专家评审通过后10个工作日内支付合同总价款的40%；</w:t>
      </w:r>
      <w:r>
        <w:rPr>
          <w:rFonts w:hint="eastAsia" w:ascii="宋体" w:hAnsi="宋体" w:eastAsia="宋体" w:cs="宋体"/>
          <w:sz w:val="24"/>
          <w:szCs w:val="24"/>
          <w:highlight w:val="none"/>
        </w:rPr>
        <w:t>即人民币（大写）</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eastAsia="zh-CN"/>
        </w:rPr>
        <w:t>元</w:t>
      </w: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r>
        <w:rPr>
          <w:rFonts w:hint="eastAsia" w:ascii="宋体" w:hAnsi="宋体" w:cs="宋体"/>
          <w:sz w:val="24"/>
          <w:szCs w:val="24"/>
          <w:highlight w:val="none"/>
          <w:lang w:eastAsia="zh-CN"/>
        </w:rPr>
        <w:t>；</w:t>
      </w:r>
    </w:p>
    <w:p w14:paraId="1336F494">
      <w:pPr>
        <w:keepNext w:val="0"/>
        <w:keepLines w:val="0"/>
        <w:pageBreakBefore w:val="0"/>
        <w:widowControl/>
        <w:kinsoku/>
        <w:wordWrap/>
        <w:overflowPunct/>
        <w:topLinePunct w:val="0"/>
        <w:bidi w:val="0"/>
        <w:snapToGrid/>
        <w:spacing w:line="480" w:lineRule="exact"/>
        <w:ind w:firstLine="480" w:firstLineChars="200"/>
        <w:rPr>
          <w:rFonts w:hint="eastAsia" w:ascii="宋体" w:hAnsi="宋体" w:eastAsia="宋体" w:cs="宋体"/>
          <w:sz w:val="24"/>
          <w:szCs w:val="24"/>
          <w:highlight w:val="none"/>
        </w:rPr>
      </w:pPr>
      <w:r>
        <w:rPr>
          <w:rFonts w:hint="eastAsia" w:ascii="宋体" w:hAnsi="宋体" w:cs="宋体"/>
          <w:kern w:val="2"/>
          <w:sz w:val="24"/>
          <w:szCs w:val="24"/>
          <w:highlight w:val="none"/>
          <w:lang w:val="en-US" w:eastAsia="zh-CN" w:bidi="ar-SA"/>
        </w:rPr>
        <w:t>3</w:t>
      </w:r>
      <w:r>
        <w:rPr>
          <w:rFonts w:hint="eastAsia" w:ascii="宋体" w:hAnsi="宋体" w:eastAsia="宋体" w:cs="宋体"/>
          <w:kern w:val="2"/>
          <w:sz w:val="24"/>
          <w:szCs w:val="24"/>
          <w:highlight w:val="none"/>
          <w:lang w:val="en-US" w:eastAsia="zh-CN" w:bidi="ar-SA"/>
        </w:rPr>
        <w:t xml:space="preserve">.3 </w:t>
      </w:r>
      <w:r>
        <w:rPr>
          <w:rFonts w:hint="eastAsia" w:ascii="宋体" w:hAnsi="宋体" w:cs="宋体"/>
          <w:kern w:val="2"/>
          <w:sz w:val="24"/>
          <w:szCs w:val="24"/>
          <w:highlight w:val="none"/>
          <w:lang w:val="en-US" w:eastAsia="zh-CN" w:bidi="ar-SA"/>
        </w:rPr>
        <w:t>项目</w:t>
      </w:r>
      <w:r>
        <w:rPr>
          <w:rFonts w:hint="eastAsia" w:ascii="宋体" w:hAnsi="宋体" w:eastAsia="宋体" w:cs="宋体"/>
          <w:kern w:val="2"/>
          <w:sz w:val="24"/>
          <w:szCs w:val="24"/>
          <w:highlight w:val="none"/>
          <w:lang w:val="en-US" w:eastAsia="zh-CN" w:bidi="ar-SA"/>
        </w:rPr>
        <w:t>成果经市自然资源和规划局验收后，支付剩余款项。</w:t>
      </w:r>
      <w:r>
        <w:rPr>
          <w:rFonts w:hint="eastAsia" w:ascii="宋体" w:hAnsi="宋体" w:eastAsia="宋体" w:cs="宋体"/>
          <w:sz w:val="24"/>
          <w:szCs w:val="24"/>
          <w:highlight w:val="none"/>
        </w:rPr>
        <w:t>即人民币（大写）</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eastAsia="zh-CN"/>
        </w:rPr>
        <w:t>元</w:t>
      </w: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p>
    <w:p w14:paraId="625B30A3">
      <w:pPr>
        <w:keepNext w:val="0"/>
        <w:keepLines w:val="0"/>
        <w:pageBreakBefore w:val="0"/>
        <w:widowControl/>
        <w:kinsoku/>
        <w:wordWrap/>
        <w:overflowPunct/>
        <w:topLinePunct w:val="0"/>
        <w:bidi w:val="0"/>
        <w:snapToGrid/>
        <w:spacing w:line="480" w:lineRule="exact"/>
        <w:ind w:firstLine="448" w:firstLineChars="200"/>
        <w:rPr>
          <w:rFonts w:hint="eastAsia" w:ascii="宋体" w:hAnsi="宋体" w:eastAsia="宋体" w:cs="宋体"/>
          <w:bCs/>
          <w:sz w:val="24"/>
          <w:szCs w:val="24"/>
          <w:highlight w:val="none"/>
        </w:rPr>
      </w:pPr>
      <w:r>
        <w:rPr>
          <w:rFonts w:hint="eastAsia" w:ascii="宋体" w:hAnsi="宋体" w:cs="宋体"/>
          <w:spacing w:val="-8"/>
          <w:sz w:val="24"/>
          <w:szCs w:val="24"/>
          <w:highlight w:val="none"/>
          <w:lang w:val="en-US" w:eastAsia="zh-CN"/>
        </w:rPr>
        <w:t xml:space="preserve">4. </w:t>
      </w:r>
      <w:r>
        <w:rPr>
          <w:rFonts w:hint="eastAsia" w:ascii="宋体" w:hAnsi="宋体" w:eastAsia="宋体" w:cs="宋体"/>
          <w:sz w:val="24"/>
          <w:szCs w:val="24"/>
          <w:highlight w:val="none"/>
        </w:rPr>
        <w:t>甲方付款前，乙方须向甲方提供正式等额合法、合规且符合甲方要求的税费发票。乙方不提供或逾期提供的，甲方有权顺延付款且不承担因此导致的逾期付款违约责任。</w:t>
      </w:r>
    </w:p>
    <w:p w14:paraId="7E2FE0B8">
      <w:pPr>
        <w:keepNext w:val="0"/>
        <w:keepLines w:val="0"/>
        <w:pageBreakBefore w:val="0"/>
        <w:widowControl/>
        <w:kinsoku/>
        <w:wordWrap/>
        <w:overflowPunct/>
        <w:topLinePunct w:val="0"/>
        <w:bidi w:val="0"/>
        <w:snapToGrid/>
        <w:spacing w:line="48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由于本项目为政府委托项目，项目资金需根据政府统一安排，由此本合同内所定的各次付款时间应根据财政局拨付资金的时间相应顺延或调整。</w:t>
      </w:r>
    </w:p>
    <w:p w14:paraId="2354E082">
      <w:pPr>
        <w:pStyle w:val="7"/>
        <w:widowControl/>
        <w:spacing w:line="480" w:lineRule="exact"/>
        <w:ind w:left="420" w:leftChars="20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5. 结算方式：银行转账。</w:t>
      </w:r>
    </w:p>
    <w:p w14:paraId="676DDD0C">
      <w:pPr>
        <w:widowControl/>
        <w:spacing w:line="48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乙方应确保所指定账户为唯一收款账户，确保该账户的稳定性与准确性，乙方变更收款账户信息的，应当提前10个工作日书面告知甲方。如因乙方提供账户信息不准确、不真实，或变动账户后不及时告知甲方，导致甲方付款错误或失败的，甲方不承担逾期付款责任，由乙方承担一切损失赔偿责任。</w:t>
      </w:r>
    </w:p>
    <w:p w14:paraId="76912900">
      <w:pPr>
        <w:pStyle w:val="9"/>
        <w:spacing w:after="100" w:line="360" w:lineRule="auto"/>
        <w:ind w:firstLine="48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6、结算单位：由甲方负责结算，甲方付款前，乙方应当开具正式等额合法、合规且符合甲方要求的等额增值税发票，乙方不提供或提供不符合要求的，甲方有权拒绝支付，且不承担因此导致的逾期付款违约责任。</w:t>
      </w:r>
    </w:p>
    <w:p w14:paraId="55EEEED4">
      <w:pPr>
        <w:spacing w:line="480" w:lineRule="exact"/>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cs="宋体"/>
          <w:b/>
          <w:bCs/>
          <w:sz w:val="24"/>
          <w:szCs w:val="24"/>
          <w:highlight w:val="none"/>
          <w:lang w:eastAsia="zh-CN"/>
        </w:rPr>
        <w:t>六</w:t>
      </w:r>
      <w:r>
        <w:rPr>
          <w:rFonts w:hint="eastAsia" w:ascii="宋体" w:hAnsi="宋体" w:eastAsia="宋体" w:cs="宋体"/>
          <w:b/>
          <w:bCs/>
          <w:sz w:val="24"/>
          <w:szCs w:val="24"/>
          <w:highlight w:val="none"/>
        </w:rPr>
        <w:t>条：知识产权</w:t>
      </w:r>
      <w:r>
        <w:rPr>
          <w:rFonts w:hint="eastAsia" w:ascii="宋体" w:hAnsi="宋体" w:cs="宋体"/>
          <w:b/>
          <w:bCs/>
          <w:sz w:val="24"/>
          <w:szCs w:val="24"/>
          <w:highlight w:val="none"/>
          <w:lang w:eastAsia="zh-CN"/>
        </w:rPr>
        <w:t>约定</w:t>
      </w:r>
    </w:p>
    <w:p w14:paraId="654A07EB">
      <w:pPr>
        <w:pStyle w:val="10"/>
        <w:numPr>
          <w:ilvl w:val="0"/>
          <w:numId w:val="0"/>
        </w:numPr>
        <w:tabs>
          <w:tab w:val="left" w:pos="312"/>
        </w:tabs>
        <w:snapToGrid w:val="0"/>
        <w:spacing w:line="480" w:lineRule="exact"/>
        <w:ind w:firstLine="480" w:firstLineChars="200"/>
        <w:jc w:val="both"/>
        <w:rPr>
          <w:rFonts w:hint="eastAsia" w:hAnsi="宋体" w:cs="宋体"/>
          <w:color w:val="000000"/>
          <w:szCs w:val="24"/>
          <w:lang w:val="en-US" w:eastAsia="zh-CN"/>
        </w:rPr>
      </w:pPr>
      <w:r>
        <w:rPr>
          <w:rFonts w:hint="eastAsia" w:hAnsi="宋体" w:cs="宋体"/>
          <w:color w:val="000000"/>
          <w:szCs w:val="24"/>
          <w:lang w:val="en-US" w:eastAsia="zh-CN"/>
        </w:rPr>
        <w:t>1.甲方在未付清所有委托设计制作费之前，乙方设计的作品著作权归乙方，甲方对该作品不享有任何权利。</w:t>
      </w:r>
    </w:p>
    <w:p w14:paraId="112F38FE">
      <w:pPr>
        <w:pStyle w:val="10"/>
        <w:numPr>
          <w:ilvl w:val="0"/>
          <w:numId w:val="0"/>
        </w:numPr>
        <w:tabs>
          <w:tab w:val="left" w:pos="312"/>
        </w:tabs>
        <w:snapToGrid w:val="0"/>
        <w:spacing w:line="480" w:lineRule="exact"/>
        <w:ind w:firstLine="480" w:firstLineChars="200"/>
        <w:jc w:val="both"/>
        <w:rPr>
          <w:rFonts w:hint="default" w:hAnsi="宋体" w:cs="宋体"/>
          <w:color w:val="000000"/>
          <w:szCs w:val="24"/>
          <w:lang w:val="en-US" w:eastAsia="zh-CN"/>
        </w:rPr>
      </w:pPr>
      <w:r>
        <w:rPr>
          <w:rFonts w:hint="eastAsia" w:hAnsi="宋体" w:cs="宋体"/>
          <w:color w:val="000000"/>
          <w:szCs w:val="24"/>
          <w:lang w:val="en-US" w:eastAsia="zh-CN"/>
        </w:rPr>
        <w:t>2.甲方将委托设计制作的所有费用结算完毕后，甲方拥有作品的所有权、使用权和修改权。</w:t>
      </w:r>
    </w:p>
    <w:p w14:paraId="6C2CE56A">
      <w:pPr>
        <w:spacing w:line="480" w:lineRule="exact"/>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cs="宋体"/>
          <w:b/>
          <w:bCs/>
          <w:sz w:val="24"/>
          <w:szCs w:val="24"/>
          <w:highlight w:val="none"/>
          <w:lang w:eastAsia="zh-CN"/>
        </w:rPr>
        <w:t>七</w:t>
      </w:r>
      <w:r>
        <w:rPr>
          <w:rFonts w:hint="eastAsia" w:ascii="宋体" w:hAnsi="宋体" w:eastAsia="宋体" w:cs="宋体"/>
          <w:b/>
          <w:bCs/>
          <w:sz w:val="24"/>
          <w:szCs w:val="24"/>
          <w:highlight w:val="none"/>
        </w:rPr>
        <w:t>条：验收</w:t>
      </w:r>
    </w:p>
    <w:p w14:paraId="40EA01B1">
      <w:pPr>
        <w:keepNext w:val="0"/>
        <w:keepLines w:val="0"/>
        <w:pageBreakBefore w:val="0"/>
        <w:widowControl/>
        <w:numPr>
          <w:ilvl w:val="0"/>
          <w:numId w:val="3"/>
        </w:numPr>
        <w:kinsoku/>
        <w:wordWrap/>
        <w:overflowPunct/>
        <w:topLinePunct w:val="0"/>
        <w:bidi w:val="0"/>
        <w:snapToGrid/>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自甲方确认收到最终工作成果之日起三个工作日内，乙方向甲方提出验收申请，甲方接到乙方验收申请后组织验收（必要时可聘请相应专家或委托相应部门验收）。</w:t>
      </w:r>
    </w:p>
    <w:p w14:paraId="1B880FB3">
      <w:pPr>
        <w:keepNext w:val="0"/>
        <w:keepLines w:val="0"/>
        <w:pageBreakBefore w:val="0"/>
        <w:widowControl/>
        <w:numPr>
          <w:ilvl w:val="0"/>
          <w:numId w:val="0"/>
        </w:numPr>
        <w:kinsoku/>
        <w:wordWrap/>
        <w:overflowPunct/>
        <w:topLinePunct w:val="0"/>
        <w:bidi w:val="0"/>
        <w:snapToGrid/>
        <w:spacing w:line="480" w:lineRule="exact"/>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甲方经验收后认为不符合甲方要求或者未达到质量标准的，甲方有权拒收，并3日内书面要求乙方补救、改正，乙方应无条件及时履行，相关费用乙方自行承担。</w:t>
      </w:r>
    </w:p>
    <w:p w14:paraId="14D5D2B6">
      <w:pPr>
        <w:keepNext w:val="0"/>
        <w:keepLines w:val="0"/>
        <w:pageBreakBefore w:val="0"/>
        <w:widowControl/>
        <w:numPr>
          <w:ilvl w:val="0"/>
          <w:numId w:val="0"/>
        </w:numPr>
        <w:kinsoku/>
        <w:wordWrap/>
        <w:overflowPunct/>
        <w:topLinePunct w:val="0"/>
        <w:bidi w:val="0"/>
        <w:snapToGrid/>
        <w:spacing w:line="480" w:lineRule="exact"/>
        <w:ind w:left="0" w:leftChars="0"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最终验收：最终验收结果作为付款依据，甲方向乙方出具验收单，乙方持此验收单同甲方进行结算。乙方向甲方提交实施过程中的所有资料，便于甲方日后管理。</w:t>
      </w:r>
    </w:p>
    <w:p w14:paraId="61ABD362">
      <w:pPr>
        <w:keepNext w:val="0"/>
        <w:keepLines w:val="0"/>
        <w:pageBreakBefore w:val="0"/>
        <w:widowControl/>
        <w:numPr>
          <w:ilvl w:val="0"/>
          <w:numId w:val="0"/>
        </w:numPr>
        <w:kinsoku/>
        <w:wordWrap/>
        <w:overflowPunct/>
        <w:topLinePunct w:val="0"/>
        <w:bidi w:val="0"/>
        <w:snapToGrid/>
        <w:spacing w:line="480" w:lineRule="exact"/>
        <w:ind w:left="0" w:leftChars="0"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验收依据（包括但不限于）：</w:t>
      </w:r>
    </w:p>
    <w:p w14:paraId="7F641E02">
      <w:pPr>
        <w:keepNext w:val="0"/>
        <w:keepLines w:val="0"/>
        <w:pageBreakBefore w:val="0"/>
        <w:widowControl/>
        <w:kinsoku/>
        <w:wordWrap/>
        <w:overflowPunct/>
        <w:topLinePunct w:val="0"/>
        <w:bidi w:val="0"/>
        <w:snapToGrid/>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招标文件、投标文件、</w:t>
      </w:r>
      <w:r>
        <w:rPr>
          <w:rFonts w:hint="eastAsia" w:ascii="宋体" w:hAnsi="宋体" w:eastAsia="宋体" w:cs="宋体"/>
          <w:sz w:val="24"/>
          <w:szCs w:val="24"/>
          <w:highlight w:val="none"/>
        </w:rPr>
        <w:t>合同文本、合同附件。国内相应的标准、规范。</w:t>
      </w:r>
    </w:p>
    <w:p w14:paraId="3992502D">
      <w:pPr>
        <w:adjustRightInd w:val="0"/>
        <w:snapToGrid w:val="0"/>
        <w:spacing w:line="480" w:lineRule="exact"/>
        <w:ind w:firstLine="482" w:firstLineChars="200"/>
        <w:rPr>
          <w:rFonts w:ascii="宋体" w:hAnsi="宋体"/>
          <w:b/>
          <w:kern w:val="0"/>
          <w:sz w:val="24"/>
        </w:rPr>
      </w:pPr>
      <w:r>
        <w:rPr>
          <w:rFonts w:hint="eastAsia" w:ascii="宋体" w:hAnsi="宋体"/>
          <w:b/>
          <w:kern w:val="0"/>
          <w:sz w:val="24"/>
        </w:rPr>
        <w:t>第八条</w:t>
      </w:r>
      <w:r>
        <w:rPr>
          <w:rFonts w:ascii="宋体" w:hAnsi="宋体"/>
          <w:b/>
          <w:kern w:val="0"/>
          <w:sz w:val="24"/>
        </w:rPr>
        <w:t xml:space="preserve"> </w:t>
      </w:r>
      <w:r>
        <w:rPr>
          <w:rFonts w:hint="eastAsia" w:ascii="宋体" w:hAnsi="宋体"/>
          <w:b/>
          <w:kern w:val="0"/>
          <w:sz w:val="24"/>
        </w:rPr>
        <w:t>保密及版权承诺</w:t>
      </w:r>
    </w:p>
    <w:p w14:paraId="6CD99837">
      <w:pPr>
        <w:adjustRightInd w:val="0"/>
        <w:snapToGrid w:val="0"/>
        <w:spacing w:line="480" w:lineRule="exact"/>
        <w:ind w:firstLine="480" w:firstLineChars="200"/>
        <w:rPr>
          <w:rFonts w:ascii="宋体" w:hAnsi="宋体"/>
          <w:kern w:val="0"/>
          <w:sz w:val="24"/>
        </w:rPr>
      </w:pPr>
      <w:r>
        <w:rPr>
          <w:rFonts w:hint="eastAsia" w:ascii="宋体" w:hAnsi="宋体"/>
          <w:kern w:val="0"/>
          <w:sz w:val="24"/>
        </w:rPr>
        <w:t>1</w:t>
      </w:r>
      <w:r>
        <w:rPr>
          <w:rFonts w:hint="eastAsia" w:ascii="宋体" w:hAnsi="宋体"/>
          <w:kern w:val="0"/>
          <w:sz w:val="24"/>
          <w:lang w:eastAsia="zh-CN"/>
        </w:rPr>
        <w:t>.</w:t>
      </w:r>
      <w:r>
        <w:rPr>
          <w:rFonts w:hint="eastAsia" w:ascii="宋体" w:hAnsi="宋体"/>
          <w:kern w:val="0"/>
          <w:sz w:val="24"/>
        </w:rPr>
        <w:t>乙方及其工作人员应当遵守执业准则和恪守职业道德，本合同以及甲方提供的文件资料及其它与执行</w:t>
      </w:r>
      <w:r>
        <w:rPr>
          <w:rFonts w:hint="eastAsia" w:ascii="宋体" w:hAnsi="宋体"/>
          <w:kern w:val="0"/>
          <w:sz w:val="24"/>
          <w:lang w:eastAsia="zh-CN"/>
        </w:rPr>
        <w:t>本</w:t>
      </w:r>
      <w:r>
        <w:rPr>
          <w:rFonts w:hint="eastAsia" w:ascii="宋体" w:hAnsi="宋体"/>
          <w:kern w:val="0"/>
          <w:sz w:val="24"/>
        </w:rPr>
        <w:t>合同有关的信息、资料，乙方应按照甲方的保密要求，遵守保密规定，不能将本合同工作成果所涉资料提供给第三方或用于其他非本协议用途，检查完成后应立即归还所有资料，不得复制留存。同时乙方应保证所涉文件资料的存放安全，防止非相关人员接触，并确保该资料不致泄密。</w:t>
      </w:r>
    </w:p>
    <w:p w14:paraId="5563942D">
      <w:pPr>
        <w:adjustRightInd w:val="0"/>
        <w:snapToGrid w:val="0"/>
        <w:spacing w:line="480" w:lineRule="exact"/>
        <w:ind w:firstLine="480" w:firstLineChars="200"/>
        <w:rPr>
          <w:rFonts w:ascii="宋体" w:hAnsi="宋体"/>
          <w:kern w:val="0"/>
          <w:sz w:val="24"/>
        </w:rPr>
      </w:pPr>
      <w:r>
        <w:rPr>
          <w:rFonts w:hint="eastAsia" w:ascii="宋体" w:hAnsi="宋体"/>
          <w:kern w:val="0"/>
          <w:sz w:val="24"/>
        </w:rPr>
        <w:t>2</w:t>
      </w:r>
      <w:r>
        <w:rPr>
          <w:rFonts w:hint="eastAsia" w:ascii="宋体" w:hAnsi="宋体"/>
          <w:kern w:val="0"/>
          <w:sz w:val="24"/>
          <w:lang w:eastAsia="zh-CN"/>
        </w:rPr>
        <w:t>.</w:t>
      </w:r>
      <w:r>
        <w:rPr>
          <w:rFonts w:hint="eastAsia" w:ascii="宋体" w:hAnsi="宋体"/>
          <w:kern w:val="0"/>
          <w:sz w:val="24"/>
        </w:rPr>
        <w:t>乙方应保证其向甲方提交的所有工作成果不得侵犯第三人的合法权益，也不得与第三人存在任何形式的纠纷。甲方因使用乙方提交的成果被第三人指控侵权、提出异议或权利主张的，乙方应当积极协助解决，给甲方造成损失的，乙方应当及时、完整地赔偿。</w:t>
      </w:r>
    </w:p>
    <w:p w14:paraId="7B95174E">
      <w:pPr>
        <w:adjustRightInd w:val="0"/>
        <w:snapToGrid w:val="0"/>
        <w:spacing w:line="480" w:lineRule="exact"/>
        <w:ind w:firstLine="480" w:firstLineChars="200"/>
        <w:rPr>
          <w:rFonts w:ascii="宋体" w:hAnsi="宋体" w:cs="宋体"/>
          <w:color w:val="000000"/>
          <w:sz w:val="24"/>
        </w:rPr>
      </w:pPr>
      <w:r>
        <w:rPr>
          <w:rFonts w:hint="eastAsia" w:ascii="宋体" w:hAnsi="宋体" w:cs="宋体"/>
          <w:color w:val="000000"/>
          <w:sz w:val="24"/>
        </w:rPr>
        <w:t>3</w:t>
      </w:r>
      <w:r>
        <w:rPr>
          <w:rFonts w:hint="eastAsia" w:ascii="宋体" w:hAnsi="宋体" w:cs="宋体"/>
          <w:color w:val="000000"/>
          <w:sz w:val="24"/>
          <w:lang w:eastAsia="zh-CN"/>
        </w:rPr>
        <w:t>.</w:t>
      </w:r>
      <w:r>
        <w:rPr>
          <w:rFonts w:hint="eastAsia" w:ascii="宋体" w:hAnsi="宋体" w:cs="宋体"/>
          <w:color w:val="000000"/>
          <w:sz w:val="24"/>
        </w:rPr>
        <w:t>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1AAE8705">
      <w:pPr>
        <w:pStyle w:val="10"/>
        <w:snapToGrid w:val="0"/>
        <w:spacing w:line="480" w:lineRule="exact"/>
        <w:ind w:firstLine="480" w:firstLineChars="200"/>
        <w:jc w:val="both"/>
        <w:rPr>
          <w:rFonts w:hint="eastAsia"/>
        </w:rPr>
      </w:pPr>
      <w:r>
        <w:rPr>
          <w:rFonts w:hint="eastAsia" w:hAnsi="宋体" w:cs="宋体"/>
          <w:color w:val="000000"/>
          <w:szCs w:val="24"/>
        </w:rPr>
        <w:t>4</w:t>
      </w:r>
      <w:r>
        <w:rPr>
          <w:rFonts w:hint="eastAsia" w:hAnsi="宋体" w:cs="宋体"/>
          <w:color w:val="000000"/>
          <w:szCs w:val="24"/>
          <w:lang w:eastAsia="zh-CN"/>
        </w:rPr>
        <w:t>.</w:t>
      </w:r>
      <w:r>
        <w:rPr>
          <w:rFonts w:hint="eastAsia" w:hAnsi="宋体" w:cs="宋体"/>
          <w:color w:val="000000"/>
          <w:szCs w:val="24"/>
        </w:rPr>
        <w:t>本条款为独立条款，本合同的无效、变更、解除和终止均不影响本条款的效力。</w:t>
      </w:r>
    </w:p>
    <w:p w14:paraId="403A5DD2">
      <w:pPr>
        <w:keepNext w:val="0"/>
        <w:keepLines w:val="0"/>
        <w:pageBreakBefore w:val="0"/>
        <w:widowControl/>
        <w:kinsoku/>
        <w:wordWrap/>
        <w:overflowPunct/>
        <w:topLinePunct w:val="0"/>
        <w:bidi w:val="0"/>
        <w:snapToGrid/>
        <w:spacing w:line="48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cs="宋体"/>
          <w:b/>
          <w:bCs/>
          <w:sz w:val="24"/>
          <w:szCs w:val="24"/>
          <w:highlight w:val="none"/>
          <w:lang w:eastAsia="zh-CN"/>
        </w:rPr>
        <w:t>九</w:t>
      </w:r>
      <w:r>
        <w:rPr>
          <w:rFonts w:hint="eastAsia" w:ascii="宋体" w:hAnsi="宋体" w:eastAsia="宋体" w:cs="宋体"/>
          <w:b/>
          <w:bCs/>
          <w:sz w:val="24"/>
          <w:szCs w:val="24"/>
          <w:highlight w:val="none"/>
        </w:rPr>
        <w:t>条：甲方的权利和义务</w:t>
      </w:r>
    </w:p>
    <w:p w14:paraId="3DFF3806">
      <w:pPr>
        <w:keepNext w:val="0"/>
        <w:keepLines w:val="0"/>
        <w:pageBreakBefore w:val="0"/>
        <w:widowControl/>
        <w:numPr>
          <w:ilvl w:val="0"/>
          <w:numId w:val="4"/>
        </w:numPr>
        <w:kinsoku/>
        <w:wordWrap/>
        <w:overflowPunct/>
        <w:topLinePunct w:val="0"/>
        <w:bidi w:val="0"/>
        <w:adjustRightInd w:val="0"/>
        <w:snapToGrid/>
        <w:spacing w:line="480" w:lineRule="exact"/>
        <w:ind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甲方在合同规定的时间内向乙方提供相关资料及文件，并对资料的完整性、正确性负责。若因甲方单方原因未提供所需要资料或提供资料延时的，所造成的任何后果由甲方承担。</w:t>
      </w:r>
    </w:p>
    <w:p w14:paraId="61A10A91">
      <w:pPr>
        <w:keepNext w:val="0"/>
        <w:keepLines w:val="0"/>
        <w:pageBreakBefore w:val="0"/>
        <w:widowControl/>
        <w:numPr>
          <w:ilvl w:val="0"/>
          <w:numId w:val="4"/>
        </w:numPr>
        <w:kinsoku/>
        <w:wordWrap/>
        <w:overflowPunct/>
        <w:topLinePunct w:val="0"/>
        <w:bidi w:val="0"/>
        <w:adjustRightInd w:val="0"/>
        <w:snapToGrid/>
        <w:spacing w:line="480" w:lineRule="exact"/>
        <w:ind w:left="0" w:leftChars="0"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甲方应为乙方派赴现场处理有关编制成果问题的工作人员提供必要的工作方便条件。</w:t>
      </w:r>
    </w:p>
    <w:p w14:paraId="1A94AD53">
      <w:pPr>
        <w:keepNext w:val="0"/>
        <w:keepLines w:val="0"/>
        <w:pageBreakBefore w:val="0"/>
        <w:widowControl/>
        <w:numPr>
          <w:ilvl w:val="0"/>
          <w:numId w:val="4"/>
        </w:numPr>
        <w:kinsoku/>
        <w:wordWrap/>
        <w:overflowPunct/>
        <w:topLinePunct w:val="0"/>
        <w:bidi w:val="0"/>
        <w:adjustRightInd w:val="0"/>
        <w:snapToGrid/>
        <w:spacing w:line="480" w:lineRule="exact"/>
        <w:ind w:left="0" w:leftChars="0"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甲方应提前向乙方告知甲方工作安排，乙方应根据甲方工作安排合理安排工作计划。</w:t>
      </w:r>
    </w:p>
    <w:p w14:paraId="3B9CA974">
      <w:pPr>
        <w:keepNext w:val="0"/>
        <w:keepLines w:val="0"/>
        <w:pageBreakBefore w:val="0"/>
        <w:widowControl/>
        <w:numPr>
          <w:ilvl w:val="0"/>
          <w:numId w:val="4"/>
        </w:numPr>
        <w:kinsoku/>
        <w:wordWrap/>
        <w:overflowPunct/>
        <w:topLinePunct w:val="0"/>
        <w:bidi w:val="0"/>
        <w:adjustRightInd w:val="0"/>
        <w:snapToGrid/>
        <w:spacing w:line="480" w:lineRule="exact"/>
        <w:ind w:left="0" w:leftChars="0"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根据本合同规定，按时向乙方支付应付服务费用。</w:t>
      </w:r>
    </w:p>
    <w:p w14:paraId="01D8C5B4">
      <w:pPr>
        <w:pStyle w:val="2"/>
        <w:keepNext w:val="0"/>
        <w:keepLines w:val="0"/>
        <w:pageBreakBefore w:val="0"/>
        <w:widowControl/>
        <w:numPr>
          <w:ilvl w:val="0"/>
          <w:numId w:val="4"/>
        </w:numPr>
        <w:kinsoku/>
        <w:wordWrap/>
        <w:overflowPunct/>
        <w:topLinePunct w:val="0"/>
        <w:bidi w:val="0"/>
        <w:snapToGrid/>
        <w:spacing w:line="480" w:lineRule="exact"/>
        <w:ind w:left="0" w:leftChars="0"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国家法律、法规所规定由甲方承担的其它责任。</w:t>
      </w:r>
    </w:p>
    <w:p w14:paraId="7ECC1301">
      <w:pPr>
        <w:keepNext w:val="0"/>
        <w:keepLines w:val="0"/>
        <w:pageBreakBefore w:val="0"/>
        <w:widowControl/>
        <w:kinsoku/>
        <w:wordWrap/>
        <w:overflowPunct/>
        <w:topLinePunct w:val="0"/>
        <w:bidi w:val="0"/>
        <w:snapToGrid/>
        <w:spacing w:line="48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cs="宋体"/>
          <w:b/>
          <w:bCs/>
          <w:sz w:val="24"/>
          <w:szCs w:val="24"/>
          <w:highlight w:val="none"/>
          <w:lang w:eastAsia="zh-CN"/>
        </w:rPr>
        <w:t>十</w:t>
      </w:r>
      <w:r>
        <w:rPr>
          <w:rFonts w:hint="eastAsia" w:ascii="宋体" w:hAnsi="宋体" w:eastAsia="宋体" w:cs="宋体"/>
          <w:b/>
          <w:bCs/>
          <w:sz w:val="24"/>
          <w:szCs w:val="24"/>
          <w:highlight w:val="none"/>
        </w:rPr>
        <w:t>条：乙方的权利和义务</w:t>
      </w:r>
    </w:p>
    <w:p w14:paraId="278B3FA0">
      <w:pPr>
        <w:keepNext w:val="0"/>
        <w:keepLines w:val="0"/>
        <w:pageBreakBefore w:val="0"/>
        <w:widowControl/>
        <w:numPr>
          <w:ilvl w:val="0"/>
          <w:numId w:val="5"/>
        </w:numPr>
        <w:kinsoku/>
        <w:wordWrap/>
        <w:overflowPunct/>
        <w:topLinePunct w:val="0"/>
        <w:bidi w:val="0"/>
        <w:adjustRightInd w:val="0"/>
        <w:snapToGrid/>
        <w:spacing w:line="480" w:lineRule="exact"/>
        <w:ind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乙方应按国家及行业相关技术规范、标准、规程及甲方提出的要求，开展项目工作和成果编制，按合同规定的进度要求提交质量合格的成果资料，并对其负责。且乙方需确保其编制成果不侵犯任何第三方的合法权益，如因侵权引起的责任和费用全部由乙方承担。</w:t>
      </w:r>
    </w:p>
    <w:p w14:paraId="1020C0CD">
      <w:pPr>
        <w:keepNext w:val="0"/>
        <w:keepLines w:val="0"/>
        <w:pageBreakBefore w:val="0"/>
        <w:widowControl/>
        <w:numPr>
          <w:ilvl w:val="0"/>
          <w:numId w:val="5"/>
        </w:numPr>
        <w:kinsoku/>
        <w:wordWrap/>
        <w:overflowPunct/>
        <w:topLinePunct w:val="0"/>
        <w:bidi w:val="0"/>
        <w:adjustRightInd w:val="0"/>
        <w:snapToGrid/>
        <w:spacing w:line="480" w:lineRule="exact"/>
        <w:ind w:left="0" w:lef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b w:val="0"/>
          <w:bCs/>
          <w:sz w:val="24"/>
          <w:szCs w:val="24"/>
          <w:highlight w:val="none"/>
        </w:rPr>
        <w:t>乙方在交付编制资料及文件后，应按规定参加有关的审查工作，并根据审查结论及甲方要求负责对不超出原定范围的内容做必要调整补充</w:t>
      </w:r>
      <w:r>
        <w:rPr>
          <w:rFonts w:hint="eastAsia" w:ascii="宋体" w:hAnsi="宋体" w:cs="宋体"/>
          <w:b w:val="0"/>
          <w:bCs/>
          <w:sz w:val="24"/>
          <w:szCs w:val="24"/>
          <w:highlight w:val="none"/>
          <w:lang w:val="en-US" w:eastAsia="zh-CN"/>
        </w:rPr>
        <w:t>,</w:t>
      </w:r>
      <w:r>
        <w:rPr>
          <w:rFonts w:hint="eastAsia" w:ascii="宋体" w:hAnsi="宋体" w:eastAsia="宋体" w:cs="宋体"/>
          <w:b w:val="0"/>
          <w:bCs/>
          <w:sz w:val="24"/>
          <w:szCs w:val="24"/>
          <w:highlight w:val="none"/>
        </w:rPr>
        <w:t>审查所产生的费用由乙方负责。</w:t>
      </w:r>
    </w:p>
    <w:p w14:paraId="3CDFEDC6">
      <w:pPr>
        <w:keepNext w:val="0"/>
        <w:keepLines w:val="0"/>
        <w:pageBreakBefore w:val="0"/>
        <w:widowControl/>
        <w:numPr>
          <w:ilvl w:val="0"/>
          <w:numId w:val="5"/>
        </w:numPr>
        <w:kinsoku/>
        <w:wordWrap/>
        <w:overflowPunct/>
        <w:topLinePunct w:val="0"/>
        <w:bidi w:val="0"/>
        <w:adjustRightInd w:val="0"/>
        <w:snapToGrid/>
        <w:spacing w:line="480" w:lineRule="exact"/>
        <w:ind w:left="0" w:leftChars="0"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乙方应保护甲方的知识产权，不得向第三方泄露、转让甲方所提供的任何资料和本次编制成果。乙方违反约定，泄露了与本合同项目有关的任何资料、信息的，乙方应承担相应法律责任，同时甲方有权立即解除本合同，乙方应当按照合同总价款的20%支付违约金给甲方，因乙方违约给甲方造成损失的，乙方还应当及时、足额的赔偿甲方的损失，包括律师费等全部费用。</w:t>
      </w:r>
    </w:p>
    <w:p w14:paraId="31F17060">
      <w:pPr>
        <w:keepNext w:val="0"/>
        <w:keepLines w:val="0"/>
        <w:pageBreakBefore w:val="0"/>
        <w:widowControl/>
        <w:numPr>
          <w:ilvl w:val="0"/>
          <w:numId w:val="0"/>
        </w:numPr>
        <w:kinsoku/>
        <w:wordWrap/>
        <w:overflowPunct/>
        <w:topLinePunct w:val="0"/>
        <w:bidi w:val="0"/>
        <w:adjustRightInd/>
        <w:snapToGrid/>
        <w:spacing w:line="480" w:lineRule="exact"/>
        <w:ind w:left="0" w:leftChars="0" w:firstLine="480" w:firstLineChars="200"/>
        <w:jc w:val="left"/>
        <w:textAlignment w:val="auto"/>
        <w:rPr>
          <w:rFonts w:hint="eastAsia" w:ascii="宋体" w:hAnsi="宋体" w:eastAsia="宋体" w:cs="宋体"/>
          <w:bCs/>
          <w:sz w:val="24"/>
          <w:szCs w:val="24"/>
          <w:highlight w:val="none"/>
        </w:rPr>
      </w:pP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乙方保证所提供的服务的所有权完全属于乙方且无任何抵押、查封等产权瑕疵</w:t>
      </w:r>
      <w:r>
        <w:rPr>
          <w:rFonts w:hint="eastAsia" w:ascii="宋体" w:hAnsi="宋体" w:cs="宋体"/>
          <w:sz w:val="24"/>
          <w:szCs w:val="24"/>
          <w:highlight w:val="none"/>
          <w:lang w:eastAsia="zh-CN"/>
        </w:rPr>
        <w:t>。</w:t>
      </w:r>
    </w:p>
    <w:p w14:paraId="2897C534">
      <w:pPr>
        <w:keepNext w:val="0"/>
        <w:keepLines w:val="0"/>
        <w:pageBreakBefore w:val="0"/>
        <w:widowControl/>
        <w:numPr>
          <w:ilvl w:val="0"/>
          <w:numId w:val="0"/>
        </w:numPr>
        <w:kinsoku/>
        <w:wordWrap/>
        <w:overflowPunct/>
        <w:topLinePunct w:val="0"/>
        <w:bidi w:val="0"/>
        <w:adjustRightInd w:val="0"/>
        <w:snapToGrid/>
        <w:spacing w:line="480" w:lineRule="exact"/>
        <w:ind w:left="0" w:leftChars="0"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val="en-US" w:eastAsia="zh-CN"/>
        </w:rPr>
        <w:t>乙方需配合完成甲方安排的与本项</w:t>
      </w:r>
      <w:r>
        <w:rPr>
          <w:rFonts w:hint="eastAsia" w:ascii="宋体" w:hAnsi="宋体" w:eastAsia="宋体" w:cs="宋体"/>
          <w:sz w:val="24"/>
          <w:szCs w:val="24"/>
          <w:highlight w:val="none"/>
          <w:lang w:eastAsia="zh-CN"/>
        </w:rPr>
        <w:t>目有关的其他事项。</w:t>
      </w:r>
    </w:p>
    <w:p w14:paraId="10CE61BD">
      <w:pPr>
        <w:keepNext w:val="0"/>
        <w:keepLines w:val="0"/>
        <w:pageBreakBefore w:val="0"/>
        <w:widowControl/>
        <w:numPr>
          <w:ilvl w:val="0"/>
          <w:numId w:val="0"/>
        </w:numPr>
        <w:kinsoku/>
        <w:wordWrap/>
        <w:overflowPunct/>
        <w:topLinePunct w:val="0"/>
        <w:bidi w:val="0"/>
        <w:adjustRightInd w:val="0"/>
        <w:snapToGrid/>
        <w:spacing w:line="480" w:lineRule="exact"/>
        <w:ind w:left="0" w:leftChars="0" w:firstLine="480" w:firstLineChars="200"/>
        <w:jc w:val="left"/>
        <w:textAlignment w:val="baseline"/>
        <w:rPr>
          <w:rFonts w:hint="eastAsia" w:ascii="宋体" w:hAnsi="宋体" w:eastAsia="宋体" w:cs="宋体"/>
          <w:bCs/>
          <w:sz w:val="24"/>
          <w:szCs w:val="24"/>
          <w:highlight w:val="none"/>
        </w:rPr>
      </w:pPr>
      <w:r>
        <w:rPr>
          <w:rFonts w:hint="eastAsia" w:ascii="宋体" w:hAnsi="宋体" w:cs="宋体"/>
          <w:bCs/>
          <w:sz w:val="24"/>
          <w:szCs w:val="24"/>
          <w:highlight w:val="none"/>
          <w:lang w:val="en-US" w:eastAsia="zh-CN"/>
        </w:rPr>
        <w:t>6.</w:t>
      </w:r>
      <w:r>
        <w:rPr>
          <w:rFonts w:hint="eastAsia" w:ascii="宋体" w:hAnsi="宋体" w:eastAsia="宋体" w:cs="宋体"/>
          <w:bCs/>
          <w:sz w:val="24"/>
          <w:szCs w:val="24"/>
          <w:highlight w:val="none"/>
        </w:rPr>
        <w:t>国家法律、法规所规定由乙方承担的其它责任。</w:t>
      </w:r>
    </w:p>
    <w:p w14:paraId="60B9DE31">
      <w:pPr>
        <w:keepNext w:val="0"/>
        <w:keepLines w:val="0"/>
        <w:pageBreakBefore w:val="0"/>
        <w:widowControl/>
        <w:kinsoku/>
        <w:wordWrap/>
        <w:overflowPunct/>
        <w:topLinePunct w:val="0"/>
        <w:bidi w:val="0"/>
        <w:snapToGrid/>
        <w:spacing w:line="48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eastAsia="宋体" w:cs="宋体"/>
          <w:b/>
          <w:bCs/>
          <w:sz w:val="24"/>
          <w:szCs w:val="24"/>
          <w:highlight w:val="none"/>
          <w:lang w:eastAsia="zh-Hans"/>
        </w:rPr>
        <w:t>十</w:t>
      </w:r>
      <w:r>
        <w:rPr>
          <w:rFonts w:hint="eastAsia" w:ascii="宋体" w:hAnsi="宋体" w:cs="宋体"/>
          <w:b/>
          <w:bCs/>
          <w:sz w:val="24"/>
          <w:szCs w:val="24"/>
          <w:highlight w:val="none"/>
          <w:lang w:eastAsia="zh-CN"/>
        </w:rPr>
        <w:t>一</w:t>
      </w:r>
      <w:r>
        <w:rPr>
          <w:rFonts w:hint="eastAsia" w:ascii="宋体" w:hAnsi="宋体" w:eastAsia="宋体" w:cs="宋体"/>
          <w:b/>
          <w:bCs/>
          <w:sz w:val="24"/>
          <w:szCs w:val="24"/>
          <w:highlight w:val="none"/>
        </w:rPr>
        <w:t>条：违约责任</w:t>
      </w:r>
    </w:p>
    <w:p w14:paraId="3EF89372">
      <w:pPr>
        <w:pStyle w:val="3"/>
        <w:spacing w:line="480" w:lineRule="exact"/>
        <w:ind w:firstLine="480" w:firstLineChars="200"/>
        <w:jc w:val="left"/>
        <w:rPr>
          <w:rFonts w:ascii="宋体" w:hAnsi="宋体"/>
          <w:kern w:val="0"/>
          <w:sz w:val="24"/>
        </w:rPr>
      </w:pPr>
      <w:r>
        <w:rPr>
          <w:rFonts w:hint="eastAsia" w:ascii="宋体" w:hAnsi="宋体" w:cs="宋体"/>
          <w:bCs/>
          <w:kern w:val="0"/>
          <w:sz w:val="24"/>
          <w:szCs w:val="24"/>
          <w:highlight w:val="none"/>
          <w:lang w:val="en-US" w:eastAsia="zh-CN"/>
        </w:rPr>
        <w:t>1.</w:t>
      </w:r>
      <w:r>
        <w:rPr>
          <w:rFonts w:hint="eastAsia" w:ascii="宋体" w:hAnsi="宋体" w:eastAsia="宋体" w:cs="宋体"/>
          <w:bCs/>
          <w:kern w:val="0"/>
          <w:sz w:val="24"/>
          <w:szCs w:val="24"/>
          <w:highlight w:val="none"/>
        </w:rPr>
        <w:t>合同生效后，甲方要求终止或解除合同，乙方已开始设计工作的，甲方应根据乙方已进行的实际工作量支付相应费用。</w:t>
      </w:r>
    </w:p>
    <w:p w14:paraId="4B6D41FF">
      <w:pPr>
        <w:pStyle w:val="3"/>
        <w:spacing w:line="480" w:lineRule="exact"/>
        <w:ind w:firstLine="480" w:firstLineChars="200"/>
        <w:jc w:val="left"/>
        <w:rPr>
          <w:rFonts w:hint="eastAsia"/>
        </w:rPr>
      </w:pPr>
      <w:r>
        <w:rPr>
          <w:rFonts w:hint="eastAsia" w:ascii="宋体" w:hAnsi="宋体" w:cs="宋体"/>
          <w:bCs/>
          <w:kern w:val="0"/>
          <w:sz w:val="24"/>
          <w:szCs w:val="24"/>
          <w:highlight w:val="none"/>
          <w:lang w:val="en-US" w:eastAsia="zh-CN"/>
        </w:rPr>
        <w:t>2.</w:t>
      </w:r>
      <w:r>
        <w:rPr>
          <w:rFonts w:hint="eastAsia" w:ascii="宋体" w:hAnsi="宋体" w:cs="宋体"/>
          <w:bCs/>
          <w:kern w:val="0"/>
          <w:sz w:val="24"/>
          <w:szCs w:val="24"/>
          <w:highlight w:val="none"/>
          <w:lang w:eastAsia="zh-CN"/>
        </w:rPr>
        <w:t>合</w:t>
      </w:r>
      <w:r>
        <w:rPr>
          <w:rFonts w:hint="eastAsia" w:ascii="宋体" w:hAnsi="宋体"/>
          <w:kern w:val="0"/>
          <w:sz w:val="24"/>
        </w:rPr>
        <w:t>同生效后，非因甲方原因且无任何其他合理理由乙方要求终止或解除合同的，乙方应双倍返还</w:t>
      </w:r>
      <w:r>
        <w:rPr>
          <w:rFonts w:hint="eastAsia" w:ascii="宋体" w:hAnsi="宋体"/>
          <w:kern w:val="0"/>
          <w:sz w:val="24"/>
          <w:lang w:eastAsia="zh-CN"/>
        </w:rPr>
        <w:t>已经支付的费用</w:t>
      </w:r>
      <w:r>
        <w:rPr>
          <w:rFonts w:hint="eastAsia" w:ascii="宋体" w:hAnsi="宋体"/>
          <w:kern w:val="0"/>
          <w:sz w:val="24"/>
        </w:rPr>
        <w:t>。</w:t>
      </w:r>
      <w:r>
        <w:rPr>
          <w:rFonts w:hint="eastAsia" w:ascii="宋体" w:hAnsi="宋体" w:cs="宋体"/>
          <w:sz w:val="24"/>
        </w:rPr>
        <w:t>因此给甲方造成的损失（包括但不限于直接损失、间接损失、律师费、诉讼费、保全费等），乙方还应及时、完整的赔偿</w:t>
      </w:r>
      <w:r>
        <w:rPr>
          <w:rFonts w:hint="eastAsia" w:ascii="宋体" w:hAnsi="宋体" w:cs="宋体"/>
          <w:sz w:val="24"/>
          <w:lang w:eastAsia="zh-CN"/>
        </w:rPr>
        <w:t>。</w:t>
      </w:r>
    </w:p>
    <w:p w14:paraId="0E4D67F2">
      <w:pPr>
        <w:pStyle w:val="3"/>
        <w:spacing w:line="480" w:lineRule="exact"/>
        <w:ind w:firstLine="480" w:firstLineChars="200"/>
        <w:jc w:val="left"/>
        <w:rPr>
          <w:rFonts w:hint="eastAsia"/>
        </w:rPr>
      </w:pPr>
      <w:r>
        <w:rPr>
          <w:rFonts w:hint="eastAsia" w:ascii="宋体" w:hAnsi="宋体" w:cs="宋体"/>
          <w:bCs/>
          <w:kern w:val="0"/>
          <w:sz w:val="24"/>
          <w:szCs w:val="24"/>
          <w:highlight w:val="none"/>
          <w:lang w:val="en-US" w:eastAsia="zh-CN"/>
        </w:rPr>
        <w:t>3.</w:t>
      </w:r>
      <w:r>
        <w:rPr>
          <w:rFonts w:hint="eastAsia" w:ascii="宋体" w:hAnsi="宋体" w:eastAsia="宋体" w:cs="宋体"/>
          <w:bCs/>
          <w:kern w:val="0"/>
          <w:sz w:val="24"/>
          <w:szCs w:val="24"/>
          <w:highlight w:val="none"/>
        </w:rPr>
        <w:t>甲方应按本合同第</w:t>
      </w:r>
      <w:r>
        <w:rPr>
          <w:rFonts w:hint="eastAsia" w:ascii="宋体" w:hAnsi="宋体" w:cs="宋体"/>
          <w:bCs/>
          <w:kern w:val="0"/>
          <w:sz w:val="24"/>
          <w:szCs w:val="24"/>
          <w:highlight w:val="none"/>
          <w:lang w:eastAsia="zh-CN"/>
        </w:rPr>
        <w:t>五</w:t>
      </w:r>
      <w:r>
        <w:rPr>
          <w:rFonts w:hint="eastAsia" w:ascii="宋体" w:hAnsi="宋体" w:eastAsia="宋体" w:cs="宋体"/>
          <w:bCs/>
          <w:kern w:val="0"/>
          <w:sz w:val="24"/>
          <w:szCs w:val="24"/>
          <w:highlight w:val="none"/>
        </w:rPr>
        <w:t>条规定的金额和时间向乙方支付成果费，</w:t>
      </w:r>
      <w:r>
        <w:rPr>
          <w:rFonts w:hint="eastAsia" w:ascii="宋体" w:hAnsi="宋体"/>
          <w:kern w:val="0"/>
          <w:sz w:val="24"/>
        </w:rPr>
        <w:t>无正当理由，超过规定支付时间15个工作日后，每逾期支付一天，应向乙方偿付当期应支付费用的</w:t>
      </w:r>
      <w:r>
        <w:rPr>
          <w:rFonts w:ascii="宋体" w:hAnsi="宋体"/>
          <w:kern w:val="0"/>
          <w:sz w:val="24"/>
        </w:rPr>
        <w:t>0</w:t>
      </w:r>
      <w:r>
        <w:rPr>
          <w:rFonts w:hint="eastAsia" w:ascii="宋体" w:hAnsi="宋体"/>
          <w:kern w:val="0"/>
          <w:sz w:val="24"/>
          <w:lang w:eastAsia="zh-Hans"/>
        </w:rPr>
        <w:t>.</w:t>
      </w:r>
      <w:r>
        <w:rPr>
          <w:rFonts w:ascii="宋体" w:hAnsi="宋体"/>
          <w:kern w:val="0"/>
          <w:sz w:val="24"/>
          <w:lang w:eastAsia="zh-Hans"/>
        </w:rPr>
        <w:t>5</w:t>
      </w:r>
      <w:r>
        <w:rPr>
          <w:rFonts w:ascii="宋体" w:hAnsi="宋体"/>
          <w:sz w:val="24"/>
        </w:rPr>
        <w:t>‰</w:t>
      </w:r>
      <w:r>
        <w:rPr>
          <w:rFonts w:hint="eastAsia" w:ascii="宋体" w:hAnsi="宋体"/>
          <w:kern w:val="0"/>
          <w:sz w:val="24"/>
        </w:rPr>
        <w:t>作为逾期违约金</w:t>
      </w:r>
      <w:r>
        <w:rPr>
          <w:rFonts w:ascii="宋体" w:hAnsi="宋体"/>
          <w:kern w:val="0"/>
          <w:sz w:val="24"/>
        </w:rPr>
        <w:t>，</w:t>
      </w:r>
      <w:r>
        <w:rPr>
          <w:rFonts w:hint="eastAsia" w:ascii="宋体" w:hAnsi="宋体"/>
          <w:kern w:val="0"/>
          <w:sz w:val="24"/>
          <w:lang w:eastAsia="zh-Hans"/>
        </w:rPr>
        <w:t>最高不得超过当期应支付费用的</w:t>
      </w:r>
      <w:r>
        <w:rPr>
          <w:rFonts w:ascii="宋体" w:hAnsi="宋体"/>
          <w:kern w:val="0"/>
          <w:sz w:val="24"/>
          <w:lang w:eastAsia="zh-Hans"/>
        </w:rPr>
        <w:t>5%</w:t>
      </w:r>
      <w:r>
        <w:rPr>
          <w:rFonts w:hint="eastAsia" w:ascii="宋体" w:hAnsi="宋体"/>
          <w:kern w:val="0"/>
          <w:sz w:val="24"/>
        </w:rPr>
        <w:t>。</w:t>
      </w:r>
    </w:p>
    <w:p w14:paraId="0DACDF00">
      <w:pPr>
        <w:pStyle w:val="3"/>
        <w:spacing w:line="480" w:lineRule="exact"/>
        <w:ind w:firstLine="480" w:firstLineChars="200"/>
        <w:jc w:val="left"/>
        <w:rPr>
          <w:rFonts w:hint="eastAsia" w:ascii="宋体" w:hAnsi="宋体" w:eastAsia="宋体" w:cs="宋体"/>
          <w:bCs/>
          <w:kern w:val="0"/>
          <w:sz w:val="24"/>
          <w:szCs w:val="24"/>
          <w:highlight w:val="none"/>
        </w:rPr>
      </w:pPr>
      <w:r>
        <w:rPr>
          <w:rFonts w:hint="eastAsia" w:ascii="宋体" w:hAnsi="宋体" w:cs="宋体"/>
          <w:bCs/>
          <w:kern w:val="0"/>
          <w:sz w:val="24"/>
          <w:szCs w:val="24"/>
          <w:highlight w:val="none"/>
          <w:lang w:val="en-US" w:eastAsia="zh-CN"/>
        </w:rPr>
        <w:t>4.</w:t>
      </w:r>
      <w:r>
        <w:rPr>
          <w:rFonts w:hint="eastAsia" w:ascii="宋体" w:hAnsi="宋体" w:eastAsia="宋体" w:cs="宋体"/>
          <w:bCs/>
          <w:kern w:val="0"/>
          <w:sz w:val="24"/>
          <w:szCs w:val="24"/>
          <w:highlight w:val="none"/>
        </w:rPr>
        <w:t>乙方应按照合同</w:t>
      </w:r>
      <w:r>
        <w:rPr>
          <w:rFonts w:hint="eastAsia" w:ascii="宋体" w:hAnsi="宋体" w:eastAsia="宋体" w:cs="宋体"/>
          <w:bCs/>
          <w:sz w:val="24"/>
          <w:szCs w:val="24"/>
          <w:highlight w:val="none"/>
        </w:rPr>
        <w:t>第二</w:t>
      </w:r>
      <w:r>
        <w:rPr>
          <w:rFonts w:hint="eastAsia" w:ascii="宋体" w:hAnsi="宋体" w:eastAsia="宋体" w:cs="宋体"/>
          <w:bCs/>
          <w:kern w:val="0"/>
          <w:sz w:val="24"/>
          <w:szCs w:val="24"/>
          <w:highlight w:val="none"/>
        </w:rPr>
        <w:t>条规定进度向甲方提交编制成果，并按照甲方合理要求保障编制进度，</w:t>
      </w:r>
      <w:r>
        <w:rPr>
          <w:rFonts w:hint="eastAsia" w:ascii="宋体" w:hAnsi="宋体"/>
          <w:kern w:val="0"/>
          <w:sz w:val="24"/>
        </w:rPr>
        <w:t>每延期一日，甲方有权扣减本合同约定的合同总价款0.5‰作为违约金。延期超过15日，甲方有权单方解除协议，不再支付合同款项，</w:t>
      </w:r>
      <w:r>
        <w:rPr>
          <w:rFonts w:hint="eastAsia" w:ascii="宋体" w:hAnsi="宋体"/>
          <w:sz w:val="24"/>
        </w:rPr>
        <w:t>乙方应当按照</w:t>
      </w:r>
      <w:r>
        <w:rPr>
          <w:rFonts w:hint="eastAsia"/>
          <w:sz w:val="24"/>
        </w:rPr>
        <w:t>本</w:t>
      </w:r>
      <w:r>
        <w:rPr>
          <w:rFonts w:hint="eastAsia" w:ascii="宋体" w:hAnsi="宋体"/>
          <w:sz w:val="24"/>
        </w:rPr>
        <w:t>合同</w:t>
      </w:r>
      <w:r>
        <w:rPr>
          <w:rFonts w:hint="eastAsia"/>
          <w:sz w:val="24"/>
        </w:rPr>
        <w:t>价款总额</w:t>
      </w:r>
      <w:r>
        <w:rPr>
          <w:rFonts w:hint="eastAsia" w:ascii="宋体" w:hAnsi="宋体"/>
          <w:sz w:val="24"/>
        </w:rPr>
        <w:t>的20%支付违约金给甲方</w:t>
      </w:r>
      <w:r>
        <w:rPr>
          <w:rFonts w:hint="eastAsia" w:ascii="宋体" w:hAnsi="宋体"/>
          <w:kern w:val="0"/>
          <w:sz w:val="24"/>
        </w:rPr>
        <w:t>。因此给甲方造成损失的，乙方还应当及时、足额地赔偿甲方的全部损失（包括但不限于直接损失、可预期利益、律师费、诉讼费等）。</w:t>
      </w:r>
    </w:p>
    <w:p w14:paraId="53A8F6ED">
      <w:pPr>
        <w:keepNext w:val="0"/>
        <w:keepLines w:val="0"/>
        <w:pageBreakBefore w:val="0"/>
        <w:widowControl/>
        <w:kinsoku/>
        <w:wordWrap/>
        <w:overflowPunct/>
        <w:topLinePunct w:val="0"/>
        <w:autoSpaceDE w:val="0"/>
        <w:autoSpaceDN w:val="0"/>
        <w:bidi w:val="0"/>
        <w:adjustRightInd w:val="0"/>
        <w:snapToGrid w:val="0"/>
        <w:spacing w:line="480" w:lineRule="exact"/>
        <w:ind w:firstLine="480" w:firstLineChars="200"/>
        <w:jc w:val="left"/>
        <w:rPr>
          <w:rFonts w:hint="eastAsia"/>
        </w:rPr>
      </w:pPr>
      <w:r>
        <w:rPr>
          <w:rFonts w:hint="eastAsia" w:ascii="宋体" w:hAnsi="宋体"/>
          <w:kern w:val="0"/>
          <w:sz w:val="24"/>
          <w:lang w:val="en-US" w:eastAsia="zh-CN"/>
        </w:rPr>
        <w:t>5.</w:t>
      </w:r>
      <w:r>
        <w:rPr>
          <w:rFonts w:hint="eastAsia" w:ascii="宋体" w:hAnsi="宋体"/>
          <w:kern w:val="0"/>
          <w:sz w:val="24"/>
        </w:rPr>
        <w:t>甲方无正当理由变更委托项目、规模、条件，或因提交的资料错误，或所提供资料作重大修改，或因相关主管部门要求而作重大修改，造成乙方需返工时，甲方应按</w:t>
      </w:r>
      <w:r>
        <w:rPr>
          <w:rFonts w:hint="eastAsia" w:ascii="宋体" w:hAnsi="宋体"/>
          <w:kern w:val="0"/>
          <w:sz w:val="24"/>
          <w:lang w:eastAsia="zh-CN"/>
        </w:rPr>
        <w:t>向</w:t>
      </w:r>
      <w:r>
        <w:rPr>
          <w:rFonts w:hint="eastAsia" w:ascii="宋体" w:hAnsi="宋体"/>
          <w:kern w:val="0"/>
          <w:sz w:val="24"/>
        </w:rPr>
        <w:t>乙方支付返工费，返工费具体金额经双方</w:t>
      </w:r>
      <w:r>
        <w:rPr>
          <w:rFonts w:hint="eastAsia" w:ascii="宋体" w:hAnsi="宋体"/>
          <w:kern w:val="0"/>
          <w:sz w:val="24"/>
          <w:lang w:eastAsia="zh-CN"/>
        </w:rPr>
        <w:t>核算</w:t>
      </w:r>
      <w:r>
        <w:rPr>
          <w:rFonts w:hint="eastAsia" w:ascii="宋体" w:hAnsi="宋体"/>
          <w:kern w:val="0"/>
          <w:sz w:val="24"/>
        </w:rPr>
        <w:t>确认</w:t>
      </w:r>
      <w:r>
        <w:rPr>
          <w:rFonts w:hint="eastAsia" w:ascii="宋体" w:hAnsi="宋体"/>
          <w:kern w:val="0"/>
          <w:sz w:val="24"/>
          <w:lang w:eastAsia="zh-CN"/>
        </w:rPr>
        <w:t>，</w:t>
      </w:r>
      <w:r>
        <w:rPr>
          <w:rFonts w:hint="eastAsia" w:ascii="宋体" w:hAnsi="宋体"/>
          <w:kern w:val="0"/>
          <w:sz w:val="24"/>
        </w:rPr>
        <w:t>并在乙方返工工作开始前完成支付。</w:t>
      </w:r>
    </w:p>
    <w:p w14:paraId="4968C3FA">
      <w:pPr>
        <w:adjustRightInd w:val="0"/>
        <w:snapToGrid w:val="0"/>
        <w:spacing w:line="480" w:lineRule="exact"/>
        <w:ind w:firstLine="480" w:firstLineChars="200"/>
        <w:rPr>
          <w:rFonts w:hint="eastAsia" w:ascii="宋体" w:hAnsi="宋体" w:eastAsia="宋体" w:cs="宋体"/>
          <w:bCs/>
          <w:kern w:val="2"/>
          <w:sz w:val="24"/>
          <w:szCs w:val="24"/>
          <w:highlight w:val="none"/>
        </w:rPr>
      </w:pPr>
      <w:r>
        <w:rPr>
          <w:rFonts w:hint="eastAsia" w:ascii="宋体" w:hAnsi="宋体" w:cs="宋体"/>
          <w:bCs/>
          <w:sz w:val="24"/>
          <w:szCs w:val="24"/>
          <w:highlight w:val="none"/>
          <w:lang w:val="en-US" w:eastAsia="zh-CN"/>
        </w:rPr>
        <w:t>6.</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kern w:val="2"/>
          <w:sz w:val="24"/>
          <w:szCs w:val="24"/>
          <w:highlight w:val="none"/>
        </w:rPr>
        <w:t>设计质量：</w:t>
      </w:r>
      <w:r>
        <w:rPr>
          <w:rFonts w:hint="eastAsia" w:ascii="宋体" w:hAnsi="宋体"/>
          <w:kern w:val="0"/>
          <w:sz w:val="24"/>
        </w:rPr>
        <w:t>合同履行过程中，乙方违反本协议约定或者不适当履行本协议的，甲方有权单方面解除本合同，乙方应当按照本合同价款总额的20%支付违约金给甲方，由此给甲方造成的损失（包括但不限于直接损失、间接损失、律师费、诉讼费、保全费等），乙方还应及时、完整的赔偿。若甲方选择继续履行的，合同</w:t>
      </w:r>
      <w:r>
        <w:rPr>
          <w:rFonts w:hint="eastAsia" w:ascii="宋体" w:hAnsi="宋体"/>
          <w:kern w:val="0"/>
          <w:sz w:val="24"/>
          <w:lang w:eastAsia="zh-CN"/>
        </w:rPr>
        <w:t>应当</w:t>
      </w:r>
      <w:r>
        <w:rPr>
          <w:rFonts w:hint="eastAsia" w:ascii="宋体" w:hAnsi="宋体"/>
          <w:kern w:val="0"/>
          <w:sz w:val="24"/>
        </w:rPr>
        <w:t>继续履行，乙方应当按照前述约定继续承担违约责任。</w:t>
      </w:r>
    </w:p>
    <w:p w14:paraId="204D470A">
      <w:pPr>
        <w:pStyle w:val="11"/>
        <w:keepNext w:val="0"/>
        <w:keepLines w:val="0"/>
        <w:pageBreakBefore w:val="0"/>
        <w:widowControl/>
        <w:kinsoku/>
        <w:wordWrap/>
        <w:overflowPunct/>
        <w:topLinePunct w:val="0"/>
        <w:bidi w:val="0"/>
        <w:snapToGrid w:val="0"/>
        <w:spacing w:line="480" w:lineRule="exact"/>
        <w:ind w:firstLineChars="200"/>
        <w:rPr>
          <w:rFonts w:hint="eastAsia" w:ascii="宋体" w:hAnsi="宋体" w:eastAsia="宋体" w:cs="宋体"/>
          <w:bCs/>
          <w:kern w:val="2"/>
          <w:sz w:val="24"/>
          <w:szCs w:val="24"/>
          <w:highlight w:val="none"/>
          <w:lang w:val="en-US" w:eastAsia="zh-CN"/>
        </w:rPr>
      </w:pPr>
      <w:r>
        <w:rPr>
          <w:rFonts w:hint="eastAsia" w:hAnsi="宋体"/>
          <w:szCs w:val="24"/>
          <w:lang w:val="en-US" w:eastAsia="zh-CN"/>
        </w:rPr>
        <w:t>7.</w:t>
      </w:r>
      <w:r>
        <w:rPr>
          <w:rFonts w:hint="eastAsia" w:hAnsi="宋体"/>
          <w:szCs w:val="24"/>
        </w:rPr>
        <w:t>因乙方责任造成工作重大返工或重作的，乙方</w:t>
      </w:r>
      <w:r>
        <w:rPr>
          <w:rFonts w:hint="eastAsia" w:hAnsi="宋体"/>
          <w:szCs w:val="24"/>
          <w:lang w:eastAsia="zh-Hans"/>
        </w:rPr>
        <w:t>应当在甲方确定的期限内采取补救措施且不免除逾期责任</w:t>
      </w:r>
      <w:r>
        <w:rPr>
          <w:rFonts w:hAnsi="宋体"/>
          <w:szCs w:val="24"/>
          <w:lang w:eastAsia="zh-Hans"/>
        </w:rPr>
        <w:t>，</w:t>
      </w:r>
      <w:r>
        <w:rPr>
          <w:rFonts w:hint="eastAsia" w:hAnsi="宋体"/>
          <w:szCs w:val="24"/>
          <w:lang w:eastAsia="zh-Hans"/>
        </w:rPr>
        <w:t>直到达到质量要求</w:t>
      </w:r>
      <w:r>
        <w:rPr>
          <w:rFonts w:hAnsi="宋体"/>
          <w:szCs w:val="24"/>
          <w:lang w:eastAsia="zh-Hans"/>
        </w:rPr>
        <w:t>，</w:t>
      </w:r>
      <w:r>
        <w:rPr>
          <w:rFonts w:hint="eastAsia" w:hAnsi="宋体"/>
          <w:szCs w:val="24"/>
          <w:lang w:eastAsia="zh-Hans"/>
        </w:rPr>
        <w:t>且</w:t>
      </w:r>
      <w:r>
        <w:rPr>
          <w:rFonts w:hint="eastAsia" w:hAnsi="宋体"/>
          <w:szCs w:val="24"/>
        </w:rPr>
        <w:t>不得另行收费。</w:t>
      </w:r>
      <w:r>
        <w:rPr>
          <w:rFonts w:hint="eastAsia" w:hAnsi="宋体" w:cs="宋体"/>
        </w:rPr>
        <w:t>因此给甲方造成的损失（包括但不限于直接损失、间接损失、律师费、诉讼费、保全费等），乙方还应及时、完整的赔偿</w:t>
      </w:r>
      <w:r>
        <w:rPr>
          <w:rFonts w:hint="eastAsia" w:hAnsi="宋体"/>
          <w:szCs w:val="24"/>
        </w:rPr>
        <w:t>。</w:t>
      </w:r>
    </w:p>
    <w:p w14:paraId="65548B38">
      <w:pPr>
        <w:keepNext w:val="0"/>
        <w:keepLines w:val="0"/>
        <w:pageBreakBefore w:val="0"/>
        <w:widowControl/>
        <w:kinsoku/>
        <w:wordWrap/>
        <w:overflowPunct/>
        <w:topLinePunct w:val="0"/>
        <w:bidi w:val="0"/>
        <w:snapToGrid/>
        <w:spacing w:line="48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第十</w:t>
      </w:r>
      <w:r>
        <w:rPr>
          <w:rFonts w:hint="eastAsia" w:ascii="宋体" w:hAnsi="宋体" w:cs="宋体"/>
          <w:b/>
          <w:bCs/>
          <w:color w:val="auto"/>
          <w:sz w:val="24"/>
          <w:szCs w:val="24"/>
          <w:highlight w:val="none"/>
          <w:lang w:eastAsia="zh-CN"/>
        </w:rPr>
        <w:t>二</w:t>
      </w:r>
      <w:r>
        <w:rPr>
          <w:rFonts w:hint="eastAsia" w:ascii="宋体" w:hAnsi="宋体" w:eastAsia="宋体" w:cs="宋体"/>
          <w:b/>
          <w:bCs/>
          <w:color w:val="auto"/>
          <w:sz w:val="24"/>
          <w:szCs w:val="24"/>
          <w:highlight w:val="none"/>
        </w:rPr>
        <w:t>条：不可抗力事件处理</w:t>
      </w:r>
    </w:p>
    <w:p w14:paraId="22D946D8">
      <w:pPr>
        <w:keepNext w:val="0"/>
        <w:keepLines w:val="0"/>
        <w:pageBreakBefore w:val="0"/>
        <w:widowControl/>
        <w:numPr>
          <w:ilvl w:val="0"/>
          <w:numId w:val="6"/>
        </w:numPr>
        <w:tabs>
          <w:tab w:val="left" w:pos="0"/>
        </w:tabs>
        <w:kinsoku/>
        <w:wordWrap/>
        <w:overflowPunct/>
        <w:topLinePunct w:val="0"/>
        <w:bidi w:val="0"/>
        <w:snapToGrid/>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在合同有效期内，任何一方因不可抗力事件导致不能履行合同，经双方协商一致且书面确认后，则合同履行期可延长，其延长期与不可抗力影响期相同。</w:t>
      </w:r>
    </w:p>
    <w:p w14:paraId="0F9A9842">
      <w:pPr>
        <w:keepNext w:val="0"/>
        <w:keepLines w:val="0"/>
        <w:pageBreakBefore w:val="0"/>
        <w:widowControl/>
        <w:numPr>
          <w:ilvl w:val="0"/>
          <w:numId w:val="6"/>
        </w:numPr>
        <w:tabs>
          <w:tab w:val="left" w:pos="0"/>
        </w:tabs>
        <w:kinsoku/>
        <w:wordWrap/>
        <w:overflowPunct/>
        <w:topLinePunct w:val="0"/>
        <w:bidi w:val="0"/>
        <w:snapToGrid/>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不可抗力事件发生后应立即通知对方，提供合同不能履行或部分不能履行或需要延期履行理由的报告，并寄送有关权威机构出具的不可抗力证明。</w:t>
      </w:r>
    </w:p>
    <w:p w14:paraId="1BFD15A2">
      <w:pPr>
        <w:keepNext w:val="0"/>
        <w:keepLines w:val="0"/>
        <w:pageBreakBefore w:val="0"/>
        <w:widowControl/>
        <w:numPr>
          <w:ilvl w:val="0"/>
          <w:numId w:val="6"/>
        </w:numPr>
        <w:tabs>
          <w:tab w:val="left" w:pos="0"/>
        </w:tabs>
        <w:kinsoku/>
        <w:wordWrap/>
        <w:overflowPunct/>
        <w:topLinePunct w:val="0"/>
        <w:bidi w:val="0"/>
        <w:snapToGrid/>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不可抗力事件延续</w:t>
      </w:r>
      <w:r>
        <w:rPr>
          <w:rFonts w:hint="eastAsia" w:ascii="宋体" w:hAnsi="宋体" w:eastAsia="宋体" w:cs="宋体"/>
          <w:color w:val="auto"/>
          <w:sz w:val="24"/>
          <w:szCs w:val="24"/>
          <w:highlight w:val="none"/>
          <w:u w:val="single"/>
        </w:rPr>
        <w:t xml:space="preserve"> 30 </w:t>
      </w:r>
      <w:r>
        <w:rPr>
          <w:rFonts w:hint="eastAsia" w:ascii="宋体" w:hAnsi="宋体" w:eastAsia="宋体" w:cs="宋体"/>
          <w:color w:val="auto"/>
          <w:sz w:val="24"/>
          <w:szCs w:val="24"/>
          <w:highlight w:val="none"/>
        </w:rPr>
        <w:t>天以上，双方应通过友好协商，确定是否继续履行合同。</w:t>
      </w:r>
    </w:p>
    <w:p w14:paraId="3DDE7AAF">
      <w:pPr>
        <w:keepNext w:val="0"/>
        <w:keepLines w:val="0"/>
        <w:pageBreakBefore w:val="0"/>
        <w:widowControl/>
        <w:kinsoku/>
        <w:wordWrap/>
        <w:overflowPunct/>
        <w:topLinePunct w:val="0"/>
        <w:bidi w:val="0"/>
        <w:snapToGrid/>
        <w:spacing w:line="48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第十</w:t>
      </w:r>
      <w:r>
        <w:rPr>
          <w:rFonts w:hint="eastAsia" w:ascii="宋体" w:hAnsi="宋体" w:cs="宋体"/>
          <w:b/>
          <w:bCs/>
          <w:color w:val="auto"/>
          <w:sz w:val="24"/>
          <w:szCs w:val="24"/>
          <w:highlight w:val="none"/>
          <w:lang w:eastAsia="zh-CN"/>
        </w:rPr>
        <w:t>三</w:t>
      </w:r>
      <w:r>
        <w:rPr>
          <w:rFonts w:hint="eastAsia" w:ascii="宋体" w:hAnsi="宋体" w:eastAsia="宋体" w:cs="宋体"/>
          <w:b/>
          <w:bCs/>
          <w:color w:val="auto"/>
          <w:sz w:val="24"/>
          <w:szCs w:val="24"/>
          <w:highlight w:val="none"/>
        </w:rPr>
        <w:t>条：合同的变更和终止</w:t>
      </w:r>
    </w:p>
    <w:p w14:paraId="27C99F79">
      <w:pPr>
        <w:keepNext w:val="0"/>
        <w:keepLines w:val="0"/>
        <w:pageBreakBefore w:val="0"/>
        <w:widowControl/>
        <w:kinsoku/>
        <w:wordWrap/>
        <w:overflowPunct/>
        <w:topLinePunct w:val="0"/>
        <w:bidi w:val="0"/>
        <w:snapToGrid/>
        <w:spacing w:line="48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除《中华人民共和国政府采购法》第49条、第50条第二款规定的情形外，本合同一经签订，甲乙双方不得擅自变更、中止或终止合同。</w:t>
      </w:r>
    </w:p>
    <w:p w14:paraId="4BE62252">
      <w:pPr>
        <w:keepNext w:val="0"/>
        <w:keepLines w:val="0"/>
        <w:pageBreakBefore w:val="0"/>
        <w:widowControl/>
        <w:kinsoku/>
        <w:wordWrap/>
        <w:overflowPunct/>
        <w:topLinePunct w:val="0"/>
        <w:bidi w:val="0"/>
        <w:snapToGrid/>
        <w:spacing w:line="48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ascii="宋体" w:hAnsi="宋体" w:cs="宋体"/>
          <w:b/>
          <w:bCs/>
          <w:sz w:val="24"/>
          <w:szCs w:val="24"/>
          <w:highlight w:val="none"/>
          <w:lang w:eastAsia="zh-CN"/>
        </w:rPr>
        <w:t>四</w:t>
      </w:r>
      <w:r>
        <w:rPr>
          <w:rFonts w:hint="eastAsia" w:ascii="宋体" w:hAnsi="宋体" w:eastAsia="宋体" w:cs="宋体"/>
          <w:b/>
          <w:bCs/>
          <w:sz w:val="24"/>
          <w:szCs w:val="24"/>
          <w:highlight w:val="none"/>
        </w:rPr>
        <w:t>条：解决合同纠纷的方式</w:t>
      </w:r>
    </w:p>
    <w:p w14:paraId="06F65A39">
      <w:pPr>
        <w:pStyle w:val="2"/>
        <w:keepNext w:val="0"/>
        <w:keepLines w:val="0"/>
        <w:pageBreakBefore w:val="0"/>
        <w:widowControl/>
        <w:numPr>
          <w:ilvl w:val="0"/>
          <w:numId w:val="7"/>
        </w:numPr>
        <w:kinsoku/>
        <w:wordWrap/>
        <w:overflowPunct/>
        <w:topLinePunct w:val="0"/>
        <w:bidi w:val="0"/>
        <w:snapToGrid/>
        <w:spacing w:line="48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合同及其附件发生的或与本合同及其附件有关的一切争议，双方应在友好协商的基础上予以解决。</w:t>
      </w:r>
    </w:p>
    <w:p w14:paraId="262FD459">
      <w:pPr>
        <w:pStyle w:val="2"/>
        <w:keepNext w:val="0"/>
        <w:keepLines w:val="0"/>
        <w:pageBreakBefore w:val="0"/>
        <w:widowControl/>
        <w:numPr>
          <w:ilvl w:val="0"/>
          <w:numId w:val="7"/>
        </w:numPr>
        <w:kinsoku/>
        <w:wordWrap/>
        <w:overflowPunct/>
        <w:topLinePunct w:val="0"/>
        <w:bidi w:val="0"/>
        <w:snapToGrid/>
        <w:spacing w:line="480" w:lineRule="exact"/>
        <w:ind w:left="0" w:leftChars="0" w:firstLine="480" w:firstLineChars="200"/>
        <w:rPr>
          <w:rFonts w:hint="eastAsia" w:ascii="宋体" w:hAnsi="宋体" w:eastAsia="宋体" w:cs="宋体"/>
          <w:sz w:val="24"/>
          <w:szCs w:val="24"/>
          <w:highlight w:val="none"/>
        </w:rPr>
      </w:pPr>
      <w:r>
        <w:rPr>
          <w:rFonts w:hint="eastAsia" w:ascii="宋体" w:hAnsi="宋体" w:eastAsia="宋体" w:cs="宋体"/>
          <w:bCs/>
          <w:sz w:val="24"/>
          <w:szCs w:val="24"/>
          <w:highlight w:val="none"/>
        </w:rPr>
        <w:t>经友好协商仍不能达成解决措施的，甲乙任何一方有权将争议提交项目所在地人民法院起诉。</w:t>
      </w:r>
    </w:p>
    <w:p w14:paraId="5B6F2B04">
      <w:pPr>
        <w:keepNext w:val="0"/>
        <w:keepLines w:val="0"/>
        <w:pageBreakBefore w:val="0"/>
        <w:widowControl/>
        <w:kinsoku/>
        <w:wordWrap/>
        <w:overflowPunct/>
        <w:topLinePunct w:val="0"/>
        <w:bidi w:val="0"/>
        <w:snapToGrid/>
        <w:spacing w:line="48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eastAsia="宋体" w:cs="宋体"/>
          <w:b/>
          <w:bCs/>
          <w:sz w:val="24"/>
          <w:szCs w:val="24"/>
          <w:highlight w:val="none"/>
          <w:lang w:eastAsia="zh-Hans"/>
        </w:rPr>
        <w:t>十</w:t>
      </w:r>
      <w:r>
        <w:rPr>
          <w:rFonts w:hint="eastAsia" w:ascii="宋体" w:hAnsi="宋体" w:cs="宋体"/>
          <w:b/>
          <w:bCs/>
          <w:sz w:val="24"/>
          <w:szCs w:val="24"/>
          <w:highlight w:val="none"/>
          <w:lang w:eastAsia="zh-CN"/>
        </w:rPr>
        <w:t>五</w:t>
      </w:r>
      <w:r>
        <w:rPr>
          <w:rFonts w:hint="eastAsia" w:ascii="宋体" w:hAnsi="宋体" w:eastAsia="宋体" w:cs="宋体"/>
          <w:b/>
          <w:bCs/>
          <w:sz w:val="24"/>
          <w:szCs w:val="24"/>
          <w:highlight w:val="none"/>
        </w:rPr>
        <w:t>条：合同生效及其他</w:t>
      </w:r>
    </w:p>
    <w:p w14:paraId="53A8FC05">
      <w:pPr>
        <w:pStyle w:val="12"/>
        <w:keepNext w:val="0"/>
        <w:keepLines w:val="0"/>
        <w:pageBreakBefore w:val="0"/>
        <w:widowControl/>
        <w:numPr>
          <w:ilvl w:val="0"/>
          <w:numId w:val="8"/>
        </w:numPr>
        <w:kinsoku/>
        <w:wordWrap/>
        <w:overflowPunct/>
        <w:topLinePunct w:val="0"/>
        <w:bidi w:val="0"/>
        <w:snapToGrid/>
        <w:spacing w:line="48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本合同自甲乙双方法定代表人或授权代表签字、盖公章后生效。</w:t>
      </w:r>
    </w:p>
    <w:p w14:paraId="11DECAED">
      <w:pPr>
        <w:pStyle w:val="12"/>
        <w:keepNext w:val="0"/>
        <w:keepLines w:val="0"/>
        <w:pageBreakBefore w:val="0"/>
        <w:widowControl/>
        <w:kinsoku/>
        <w:wordWrap/>
        <w:overflowPunct/>
        <w:topLinePunct w:val="0"/>
        <w:bidi w:val="0"/>
        <w:snapToGrid/>
        <w:spacing w:line="48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附属文件：双方认可的来往传真、会议纪要等，均为合同的组成部分，与本合同具有同等效力。本合同未尽事宜，双方可签订补充协议作为附件，补充协议与本合同具有同等效力。</w:t>
      </w:r>
    </w:p>
    <w:p w14:paraId="3BFA9A59">
      <w:pPr>
        <w:pStyle w:val="12"/>
        <w:keepNext w:val="0"/>
        <w:keepLines w:val="0"/>
        <w:pageBreakBefore w:val="0"/>
        <w:widowControl/>
        <w:kinsoku/>
        <w:wordWrap/>
        <w:overflowPunct/>
        <w:topLinePunct w:val="0"/>
        <w:bidi w:val="0"/>
        <w:snapToGrid/>
        <w:spacing w:line="48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3、甲乙双方履行完成合同规定的义务，本合同终止。本合同一式</w:t>
      </w:r>
      <w:r>
        <w:rPr>
          <w:rFonts w:hint="eastAsia" w:ascii="宋体" w:hAnsi="宋体" w:cs="宋体"/>
          <w:sz w:val="24"/>
          <w:szCs w:val="24"/>
          <w:highlight w:val="none"/>
          <w:u w:val="single"/>
          <w:lang w:val="en-US" w:eastAsia="zh-CN"/>
        </w:rPr>
        <w:t>6</w:t>
      </w:r>
      <w:r>
        <w:rPr>
          <w:rFonts w:hint="eastAsia" w:ascii="宋体" w:hAnsi="宋体" w:eastAsia="宋体" w:cs="宋体"/>
          <w:sz w:val="24"/>
          <w:szCs w:val="24"/>
          <w:highlight w:val="none"/>
        </w:rPr>
        <w:t>份，自各方签章之日起</w:t>
      </w:r>
      <w:r>
        <w:rPr>
          <w:rFonts w:hint="eastAsia" w:ascii="宋体" w:hAnsi="宋体" w:eastAsia="宋体" w:cs="宋体"/>
          <w:sz w:val="24"/>
          <w:szCs w:val="24"/>
          <w:highlight w:val="none"/>
          <w:lang w:eastAsia="zh-CN"/>
        </w:rPr>
        <w:t>生</w:t>
      </w:r>
      <w:r>
        <w:rPr>
          <w:rFonts w:hint="eastAsia" w:ascii="宋体" w:hAnsi="宋体" w:eastAsia="宋体" w:cs="宋体"/>
          <w:sz w:val="24"/>
          <w:szCs w:val="24"/>
          <w:highlight w:val="none"/>
        </w:rPr>
        <w:t>效。甲方</w:t>
      </w:r>
      <w:r>
        <w:rPr>
          <w:rFonts w:hint="eastAsia" w:ascii="宋体" w:hAnsi="宋体" w:eastAsia="宋体" w:cs="宋体"/>
          <w:sz w:val="24"/>
          <w:szCs w:val="24"/>
          <w:highlight w:val="none"/>
          <w:u w:val="single"/>
          <w:lang w:val="en-US" w:eastAsia="zh-CN"/>
        </w:rPr>
        <w:t>3</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u w:val="single"/>
          <w:lang w:val="en-US" w:eastAsia="zh-CN"/>
        </w:rPr>
        <w:t>3</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eastAsia="zh-Hans"/>
        </w:rPr>
        <w:t>每份</w:t>
      </w:r>
      <w:r>
        <w:rPr>
          <w:rFonts w:hint="eastAsia" w:ascii="宋体" w:hAnsi="宋体" w:eastAsia="宋体" w:cs="宋体"/>
          <w:sz w:val="24"/>
          <w:szCs w:val="24"/>
          <w:highlight w:val="none"/>
        </w:rPr>
        <w:t>具有同等法律效力。</w:t>
      </w:r>
    </w:p>
    <w:p w14:paraId="59C205A9">
      <w:pPr>
        <w:keepNext w:val="0"/>
        <w:keepLines w:val="0"/>
        <w:pageBreakBefore w:val="0"/>
        <w:widowControl/>
        <w:kinsoku/>
        <w:wordWrap/>
        <w:overflowPunct/>
        <w:topLinePunct w:val="0"/>
        <w:bidi w:val="0"/>
        <w:snapToGrid/>
        <w:spacing w:line="48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ascii="宋体" w:hAnsi="宋体" w:cs="宋体"/>
          <w:b/>
          <w:bCs/>
          <w:sz w:val="24"/>
          <w:szCs w:val="24"/>
          <w:highlight w:val="none"/>
          <w:lang w:eastAsia="zh-CN"/>
        </w:rPr>
        <w:t>六</w:t>
      </w:r>
      <w:r>
        <w:rPr>
          <w:rFonts w:hint="eastAsia" w:ascii="宋体" w:hAnsi="宋体" w:eastAsia="宋体" w:cs="宋体"/>
          <w:b/>
          <w:bCs/>
          <w:sz w:val="24"/>
          <w:szCs w:val="24"/>
          <w:highlight w:val="none"/>
        </w:rPr>
        <w:t>条：附件</w:t>
      </w:r>
    </w:p>
    <w:p w14:paraId="3A1BE1A4">
      <w:pPr>
        <w:pStyle w:val="12"/>
        <w:keepNext w:val="0"/>
        <w:keepLines w:val="0"/>
        <w:pageBreakBefore w:val="0"/>
        <w:widowControl/>
        <w:numPr>
          <w:ilvl w:val="0"/>
          <w:numId w:val="0"/>
        </w:numPr>
        <w:kinsoku/>
        <w:wordWrap/>
        <w:overflowPunct/>
        <w:topLinePunct w:val="0"/>
        <w:bidi w:val="0"/>
        <w:snapToGrid/>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中标通知书</w:t>
      </w:r>
    </w:p>
    <w:p w14:paraId="5C9865ED">
      <w:pPr>
        <w:pStyle w:val="13"/>
        <w:keepNext w:val="0"/>
        <w:keepLines w:val="0"/>
        <w:pageBreakBefore w:val="0"/>
        <w:widowControl/>
        <w:numPr>
          <w:ilvl w:val="0"/>
          <w:numId w:val="0"/>
        </w:numPr>
        <w:kinsoku/>
        <w:wordWrap/>
        <w:overflowPunct/>
        <w:topLinePunct w:val="0"/>
        <w:bidi w:val="0"/>
        <w:snapToGrid/>
        <w:spacing w:line="360" w:lineRule="exact"/>
        <w:rPr>
          <w:rFonts w:hint="eastAsia" w:ascii="宋体" w:hAnsi="宋体" w:eastAsia="宋体" w:cs="宋体"/>
          <w:sz w:val="24"/>
          <w:szCs w:val="24"/>
          <w:highlight w:val="none"/>
        </w:rPr>
      </w:pPr>
    </w:p>
    <w:p w14:paraId="1A0833D7">
      <w:pPr>
        <w:pStyle w:val="13"/>
        <w:keepNext w:val="0"/>
        <w:keepLines w:val="0"/>
        <w:pageBreakBefore w:val="0"/>
        <w:widowControl/>
        <w:kinsoku/>
        <w:wordWrap/>
        <w:overflowPunct/>
        <w:topLinePunct w:val="0"/>
        <w:autoSpaceDE w:val="0"/>
        <w:autoSpaceDN w:val="0"/>
        <w:bidi w:val="0"/>
        <w:adjustRightInd w:val="0"/>
        <w:snapToGrid/>
        <w:spacing w:line="360" w:lineRule="exact"/>
        <w:jc w:val="left"/>
        <w:rPr>
          <w:rFonts w:hint="eastAsia" w:ascii="宋体" w:hAnsi="宋体" w:eastAsia="宋体" w:cs="宋体"/>
          <w:kern w:val="0"/>
          <w:sz w:val="24"/>
          <w:szCs w:val="24"/>
          <w:highlight w:val="none"/>
        </w:rPr>
        <w:sectPr>
          <w:pgSz w:w="11906" w:h="16838"/>
          <w:pgMar w:top="1440" w:right="1800" w:bottom="1440" w:left="1800" w:header="851" w:footer="992" w:gutter="0"/>
          <w:cols w:space="720" w:num="1"/>
          <w:docGrid w:type="lines" w:linePitch="312" w:charSpace="0"/>
        </w:sectPr>
      </w:pPr>
    </w:p>
    <w:p w14:paraId="3930843D">
      <w:pPr>
        <w:pStyle w:val="13"/>
        <w:keepNext w:val="0"/>
        <w:keepLines w:val="0"/>
        <w:pageBreakBefore w:val="0"/>
        <w:widowControl/>
        <w:kinsoku/>
        <w:wordWrap/>
        <w:overflowPunct/>
        <w:topLinePunct w:val="0"/>
        <w:autoSpaceDE w:val="0"/>
        <w:autoSpaceDN w:val="0"/>
        <w:bidi w:val="0"/>
        <w:adjustRightInd w:val="0"/>
        <w:snapToGrid/>
        <w:spacing w:line="36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（以下无正文</w:t>
      </w:r>
      <w:r>
        <w:rPr>
          <w:rFonts w:hint="eastAsia" w:ascii="宋体" w:hAnsi="宋体" w:eastAsia="宋体" w:cs="宋体"/>
          <w:sz w:val="24"/>
          <w:szCs w:val="24"/>
          <w:highlight w:val="none"/>
        </w:rPr>
        <w:t>，本页为签署页</w:t>
      </w:r>
      <w:r>
        <w:rPr>
          <w:rFonts w:hint="eastAsia" w:ascii="宋体" w:hAnsi="宋体" w:eastAsia="宋体" w:cs="宋体"/>
          <w:kern w:val="0"/>
          <w:sz w:val="24"/>
          <w:szCs w:val="24"/>
          <w:highlight w:val="none"/>
        </w:rPr>
        <w:t>）</w:t>
      </w:r>
    </w:p>
    <w:p w14:paraId="27B3F486">
      <w:pPr>
        <w:pStyle w:val="13"/>
        <w:keepNext w:val="0"/>
        <w:keepLines w:val="0"/>
        <w:pageBreakBefore w:val="0"/>
        <w:widowControl/>
        <w:kinsoku/>
        <w:wordWrap/>
        <w:overflowPunct/>
        <w:topLinePunct w:val="0"/>
        <w:autoSpaceDE w:val="0"/>
        <w:autoSpaceDN w:val="0"/>
        <w:bidi w:val="0"/>
        <w:adjustRightInd w:val="0"/>
        <w:snapToGrid/>
        <w:spacing w:line="360" w:lineRule="exact"/>
        <w:jc w:val="left"/>
        <w:rPr>
          <w:rFonts w:hint="eastAsia" w:ascii="宋体" w:hAnsi="宋体" w:eastAsia="宋体" w:cs="宋体"/>
          <w:kern w:val="0"/>
          <w:sz w:val="24"/>
          <w:szCs w:val="24"/>
          <w:highlight w:val="none"/>
        </w:rPr>
      </w:pPr>
    </w:p>
    <w:p w14:paraId="5F8CD173">
      <w:pPr>
        <w:pStyle w:val="13"/>
        <w:keepNext w:val="0"/>
        <w:keepLines w:val="0"/>
        <w:pageBreakBefore w:val="0"/>
        <w:widowControl/>
        <w:kinsoku/>
        <w:wordWrap/>
        <w:overflowPunct/>
        <w:topLinePunct w:val="0"/>
        <w:autoSpaceDE w:val="0"/>
        <w:autoSpaceDN w:val="0"/>
        <w:bidi w:val="0"/>
        <w:adjustRightInd w:val="0"/>
        <w:snapToGrid/>
        <w:spacing w:line="360" w:lineRule="exact"/>
        <w:jc w:val="left"/>
        <w:rPr>
          <w:rFonts w:hint="eastAsia" w:ascii="宋体" w:hAnsi="宋体" w:eastAsia="宋体" w:cs="宋体"/>
          <w:kern w:val="0"/>
          <w:sz w:val="24"/>
          <w:szCs w:val="24"/>
          <w:highlight w:val="none"/>
        </w:rPr>
      </w:pPr>
    </w:p>
    <w:p w14:paraId="704A4BD4">
      <w:pPr>
        <w:pStyle w:val="13"/>
        <w:keepNext w:val="0"/>
        <w:keepLines w:val="0"/>
        <w:pageBreakBefore w:val="0"/>
        <w:widowControl/>
        <w:kinsoku/>
        <w:wordWrap/>
        <w:overflowPunct/>
        <w:topLinePunct w:val="0"/>
        <w:autoSpaceDE w:val="0"/>
        <w:autoSpaceDN w:val="0"/>
        <w:bidi w:val="0"/>
        <w:adjustRightInd w:val="0"/>
        <w:snapToGrid/>
        <w:spacing w:line="360" w:lineRule="exact"/>
        <w:jc w:val="left"/>
        <w:rPr>
          <w:rFonts w:hint="eastAsia" w:ascii="宋体" w:hAnsi="宋体" w:eastAsia="宋体" w:cs="宋体"/>
          <w:kern w:val="0"/>
          <w:sz w:val="24"/>
          <w:szCs w:val="24"/>
          <w:highlight w:val="none"/>
        </w:rPr>
      </w:pPr>
    </w:p>
    <w:tbl>
      <w:tblPr>
        <w:tblStyle w:val="5"/>
        <w:tblW w:w="87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9"/>
        <w:gridCol w:w="4175"/>
      </w:tblGrid>
      <w:tr w14:paraId="30FDD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559" w:type="dxa"/>
            <w:noWrap w:val="0"/>
            <w:vAlign w:val="top"/>
          </w:tcPr>
          <w:p w14:paraId="63D3775E">
            <w:pPr>
              <w:pStyle w:val="2"/>
              <w:spacing w:line="276" w:lineRule="auto"/>
              <w:ind w:firstLine="0" w:firstLineChars="0"/>
              <w:jc w:val="both"/>
              <w:rPr>
                <w:rFonts w:hint="eastAsia" w:ascii="宋体" w:hAnsi="宋体" w:eastAsia="宋体" w:cs="宋体"/>
                <w:highlight w:val="none"/>
              </w:rPr>
            </w:pPr>
            <w:r>
              <w:rPr>
                <w:rFonts w:hint="eastAsia" w:ascii="宋体" w:hAnsi="宋体" w:eastAsia="宋体" w:cs="宋体"/>
                <w:highlight w:val="none"/>
              </w:rPr>
              <w:t>甲方</w:t>
            </w:r>
          </w:p>
        </w:tc>
        <w:tc>
          <w:tcPr>
            <w:tcW w:w="4175" w:type="dxa"/>
            <w:noWrap w:val="0"/>
            <w:vAlign w:val="center"/>
          </w:tcPr>
          <w:p w14:paraId="5359E0A6">
            <w:pPr>
              <w:pStyle w:val="2"/>
              <w:spacing w:line="276" w:lineRule="auto"/>
              <w:ind w:firstLine="0" w:firstLineChars="0"/>
              <w:jc w:val="both"/>
              <w:rPr>
                <w:rFonts w:hint="eastAsia" w:ascii="宋体" w:hAnsi="宋体" w:eastAsia="宋体" w:cs="宋体"/>
                <w:highlight w:val="none"/>
              </w:rPr>
            </w:pPr>
            <w:r>
              <w:rPr>
                <w:rFonts w:hint="eastAsia" w:ascii="宋体" w:hAnsi="宋体" w:eastAsia="宋体" w:cs="宋体"/>
                <w:highlight w:val="none"/>
              </w:rPr>
              <w:t>乙方</w:t>
            </w:r>
          </w:p>
        </w:tc>
      </w:tr>
      <w:tr w14:paraId="6DCDC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8" w:hRule="atLeast"/>
        </w:trPr>
        <w:tc>
          <w:tcPr>
            <w:tcW w:w="4559" w:type="dxa"/>
            <w:noWrap w:val="0"/>
            <w:vAlign w:val="center"/>
          </w:tcPr>
          <w:p w14:paraId="0AC662F8">
            <w:pPr>
              <w:spacing w:line="276" w:lineRule="auto"/>
              <w:jc w:val="center"/>
              <w:rPr>
                <w:rFonts w:hint="eastAsia" w:ascii="宋体" w:hAnsi="宋体" w:eastAsia="宋体" w:cs="宋体"/>
                <w:szCs w:val="21"/>
                <w:highlight w:val="none"/>
              </w:rPr>
            </w:pPr>
            <w:r>
              <w:rPr>
                <w:rFonts w:hint="eastAsia" w:ascii="宋体" w:hAnsi="宋体" w:eastAsia="宋体" w:cs="宋体"/>
                <w:szCs w:val="21"/>
                <w:highlight w:val="none"/>
              </w:rPr>
              <w:t>西安市自然资源和规划局</w:t>
            </w:r>
          </w:p>
          <w:p w14:paraId="6647FBA0">
            <w:pPr>
              <w:spacing w:line="276" w:lineRule="auto"/>
              <w:jc w:val="center"/>
              <w:rPr>
                <w:rFonts w:hint="eastAsia" w:ascii="宋体" w:hAnsi="宋体" w:eastAsia="宋体" w:cs="宋体"/>
                <w:szCs w:val="21"/>
                <w:highlight w:val="none"/>
              </w:rPr>
            </w:pPr>
            <w:r>
              <w:rPr>
                <w:rFonts w:hint="eastAsia" w:ascii="宋体" w:hAnsi="宋体" w:eastAsia="宋体" w:cs="宋体"/>
                <w:szCs w:val="21"/>
                <w:highlight w:val="none"/>
              </w:rPr>
              <w:t>（盖章）</w:t>
            </w:r>
          </w:p>
        </w:tc>
        <w:tc>
          <w:tcPr>
            <w:tcW w:w="4175" w:type="dxa"/>
            <w:noWrap w:val="0"/>
            <w:vAlign w:val="center"/>
          </w:tcPr>
          <w:p w14:paraId="1D8F9EB8">
            <w:pPr>
              <w:pStyle w:val="2"/>
              <w:spacing w:line="276" w:lineRule="auto"/>
              <w:ind w:firstLine="0" w:firstLineChars="0"/>
              <w:jc w:val="center"/>
              <w:rPr>
                <w:rFonts w:hint="eastAsia" w:ascii="宋体" w:hAnsi="宋体" w:eastAsia="宋体" w:cs="宋体"/>
                <w:highlight w:val="none"/>
              </w:rPr>
            </w:pPr>
          </w:p>
          <w:p w14:paraId="0F2C0C68">
            <w:pPr>
              <w:pStyle w:val="2"/>
              <w:spacing w:line="276" w:lineRule="auto"/>
              <w:ind w:firstLine="0" w:firstLineChars="0"/>
              <w:jc w:val="center"/>
              <w:rPr>
                <w:rFonts w:hint="eastAsia" w:ascii="宋体" w:hAnsi="宋体" w:eastAsia="宋体" w:cs="宋体"/>
                <w:highlight w:val="none"/>
              </w:rPr>
            </w:pPr>
            <w:r>
              <w:rPr>
                <w:rFonts w:hint="eastAsia" w:ascii="宋体" w:hAnsi="宋体" w:eastAsia="宋体" w:cs="宋体"/>
                <w:highlight w:val="none"/>
              </w:rPr>
              <w:t>（盖章）</w:t>
            </w:r>
          </w:p>
        </w:tc>
      </w:tr>
      <w:tr w14:paraId="65424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4559" w:type="dxa"/>
            <w:noWrap w:val="0"/>
            <w:vAlign w:val="center"/>
          </w:tcPr>
          <w:p w14:paraId="7922DFF4">
            <w:pPr>
              <w:pStyle w:val="2"/>
              <w:spacing w:line="276" w:lineRule="auto"/>
              <w:ind w:firstLine="0" w:firstLineChars="0"/>
              <w:jc w:val="both"/>
              <w:rPr>
                <w:rFonts w:hint="eastAsia" w:ascii="宋体" w:hAnsi="宋体" w:eastAsia="宋体" w:cs="宋体"/>
                <w:highlight w:val="none"/>
              </w:rPr>
            </w:pPr>
            <w:r>
              <w:rPr>
                <w:rFonts w:hint="eastAsia" w:ascii="宋体" w:hAnsi="宋体" w:eastAsia="宋体" w:cs="宋体"/>
                <w:szCs w:val="21"/>
                <w:highlight w:val="none"/>
              </w:rPr>
              <w:t>地址：西安市未央区凤城八路109号</w:t>
            </w:r>
          </w:p>
        </w:tc>
        <w:tc>
          <w:tcPr>
            <w:tcW w:w="4175" w:type="dxa"/>
            <w:noWrap w:val="0"/>
            <w:vAlign w:val="center"/>
          </w:tcPr>
          <w:p w14:paraId="3A1C4CF6">
            <w:pPr>
              <w:pStyle w:val="2"/>
              <w:spacing w:line="276" w:lineRule="auto"/>
              <w:ind w:firstLine="0" w:firstLineChars="0"/>
              <w:rPr>
                <w:rFonts w:hint="eastAsia" w:ascii="宋体" w:hAnsi="宋体" w:eastAsia="宋体" w:cs="宋体"/>
                <w:highlight w:val="none"/>
              </w:rPr>
            </w:pPr>
            <w:r>
              <w:rPr>
                <w:rFonts w:hint="eastAsia" w:ascii="宋体" w:hAnsi="宋体" w:eastAsia="宋体" w:cs="宋体"/>
                <w:highlight w:val="none"/>
              </w:rPr>
              <w:t>地址：</w:t>
            </w:r>
          </w:p>
        </w:tc>
      </w:tr>
      <w:tr w14:paraId="53724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4559" w:type="dxa"/>
            <w:noWrap w:val="0"/>
            <w:vAlign w:val="center"/>
          </w:tcPr>
          <w:p w14:paraId="145636E3">
            <w:pPr>
              <w:pStyle w:val="2"/>
              <w:spacing w:line="276" w:lineRule="auto"/>
              <w:ind w:firstLine="0" w:firstLineChars="0"/>
              <w:rPr>
                <w:rFonts w:hint="eastAsia" w:ascii="宋体" w:hAnsi="宋体" w:eastAsia="宋体" w:cs="宋体"/>
                <w:highlight w:val="none"/>
              </w:rPr>
            </w:pPr>
            <w:r>
              <w:rPr>
                <w:rFonts w:hint="eastAsia" w:ascii="宋体" w:hAnsi="宋体" w:eastAsia="宋体" w:cs="宋体"/>
                <w:highlight w:val="none"/>
              </w:rPr>
              <w:t>邮编：</w:t>
            </w:r>
          </w:p>
        </w:tc>
        <w:tc>
          <w:tcPr>
            <w:tcW w:w="4175" w:type="dxa"/>
            <w:noWrap w:val="0"/>
            <w:vAlign w:val="center"/>
          </w:tcPr>
          <w:p w14:paraId="33B373B2">
            <w:pPr>
              <w:pStyle w:val="2"/>
              <w:spacing w:line="276" w:lineRule="auto"/>
              <w:ind w:firstLine="0" w:firstLineChars="0"/>
              <w:rPr>
                <w:rFonts w:hint="eastAsia" w:ascii="宋体" w:hAnsi="宋体" w:eastAsia="宋体" w:cs="宋体"/>
                <w:highlight w:val="none"/>
              </w:rPr>
            </w:pPr>
            <w:r>
              <w:rPr>
                <w:rFonts w:hint="eastAsia" w:ascii="宋体" w:hAnsi="宋体" w:eastAsia="宋体" w:cs="宋体"/>
                <w:highlight w:val="none"/>
              </w:rPr>
              <w:t>邮编：</w:t>
            </w:r>
          </w:p>
        </w:tc>
      </w:tr>
      <w:tr w14:paraId="5EC38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trPr>
        <w:tc>
          <w:tcPr>
            <w:tcW w:w="4559" w:type="dxa"/>
            <w:noWrap w:val="0"/>
            <w:vAlign w:val="center"/>
          </w:tcPr>
          <w:p w14:paraId="271753F1">
            <w:pPr>
              <w:pStyle w:val="2"/>
              <w:spacing w:line="276" w:lineRule="auto"/>
              <w:ind w:firstLine="0" w:firstLineChars="0"/>
              <w:rPr>
                <w:rFonts w:hint="eastAsia" w:ascii="宋体" w:hAnsi="宋体" w:eastAsia="宋体" w:cs="宋体"/>
                <w:highlight w:val="none"/>
              </w:rPr>
            </w:pPr>
            <w:r>
              <w:rPr>
                <w:rFonts w:hint="eastAsia" w:ascii="宋体" w:hAnsi="宋体" w:eastAsia="宋体" w:cs="宋体"/>
                <w:highlight w:val="none"/>
              </w:rPr>
              <w:t>法定代表人：</w:t>
            </w:r>
            <w:r>
              <w:rPr>
                <w:rFonts w:hint="eastAsia" w:ascii="宋体" w:hAnsi="宋体" w:cs="宋体"/>
                <w:highlight w:val="none"/>
                <w:lang w:eastAsia="zh-CN"/>
              </w:rPr>
              <w:t>邹林</w:t>
            </w:r>
          </w:p>
        </w:tc>
        <w:tc>
          <w:tcPr>
            <w:tcW w:w="4175" w:type="dxa"/>
            <w:noWrap w:val="0"/>
            <w:vAlign w:val="center"/>
          </w:tcPr>
          <w:p w14:paraId="5FDD4D45">
            <w:pPr>
              <w:pStyle w:val="2"/>
              <w:spacing w:line="276" w:lineRule="auto"/>
              <w:ind w:firstLine="0" w:firstLineChars="0"/>
              <w:rPr>
                <w:rFonts w:hint="eastAsia" w:ascii="宋体" w:hAnsi="宋体" w:eastAsia="宋体" w:cs="宋体"/>
                <w:highlight w:val="none"/>
              </w:rPr>
            </w:pPr>
          </w:p>
          <w:p w14:paraId="5E124953">
            <w:pPr>
              <w:pStyle w:val="2"/>
              <w:spacing w:line="276" w:lineRule="auto"/>
              <w:ind w:firstLine="0" w:firstLineChars="0"/>
              <w:rPr>
                <w:rFonts w:hint="eastAsia" w:ascii="宋体" w:hAnsi="宋体" w:eastAsia="宋体" w:cs="宋体"/>
                <w:highlight w:val="none"/>
              </w:rPr>
            </w:pPr>
            <w:r>
              <w:rPr>
                <w:rFonts w:hint="eastAsia" w:ascii="宋体" w:hAnsi="宋体" w:eastAsia="宋体" w:cs="宋体"/>
                <w:highlight w:val="none"/>
              </w:rPr>
              <w:t>法定代表人：</w:t>
            </w:r>
          </w:p>
          <w:p w14:paraId="5B9A08CD">
            <w:pPr>
              <w:pStyle w:val="2"/>
              <w:spacing w:line="276" w:lineRule="auto"/>
              <w:ind w:firstLine="0" w:firstLineChars="0"/>
              <w:rPr>
                <w:rFonts w:hint="eastAsia" w:ascii="宋体" w:hAnsi="宋体" w:eastAsia="宋体" w:cs="宋体"/>
                <w:highlight w:val="none"/>
              </w:rPr>
            </w:pPr>
          </w:p>
        </w:tc>
      </w:tr>
      <w:tr w14:paraId="4A2C6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4559" w:type="dxa"/>
            <w:noWrap w:val="0"/>
            <w:vAlign w:val="center"/>
          </w:tcPr>
          <w:p w14:paraId="5AD1315D">
            <w:pPr>
              <w:pStyle w:val="2"/>
              <w:spacing w:line="276" w:lineRule="auto"/>
              <w:ind w:firstLine="0" w:firstLineChars="0"/>
              <w:rPr>
                <w:rFonts w:hint="eastAsia" w:ascii="宋体" w:hAnsi="宋体" w:eastAsia="宋体" w:cs="宋体"/>
                <w:highlight w:val="none"/>
              </w:rPr>
            </w:pPr>
            <w:r>
              <w:rPr>
                <w:rFonts w:hint="eastAsia" w:ascii="宋体" w:hAnsi="宋体" w:eastAsia="宋体" w:cs="宋体"/>
                <w:highlight w:val="none"/>
              </w:rPr>
              <w:t>被授权代表（签字）：</w:t>
            </w:r>
          </w:p>
        </w:tc>
        <w:tc>
          <w:tcPr>
            <w:tcW w:w="4175" w:type="dxa"/>
            <w:noWrap w:val="0"/>
            <w:vAlign w:val="center"/>
          </w:tcPr>
          <w:p w14:paraId="366A5D55">
            <w:pPr>
              <w:pStyle w:val="2"/>
              <w:spacing w:line="276" w:lineRule="auto"/>
              <w:ind w:firstLine="0" w:firstLineChars="0"/>
              <w:rPr>
                <w:rFonts w:hint="eastAsia" w:ascii="宋体" w:hAnsi="宋体" w:eastAsia="宋体" w:cs="宋体"/>
                <w:highlight w:val="none"/>
              </w:rPr>
            </w:pPr>
          </w:p>
          <w:p w14:paraId="6F278973">
            <w:pPr>
              <w:pStyle w:val="2"/>
              <w:spacing w:line="276" w:lineRule="auto"/>
              <w:ind w:firstLine="0" w:firstLineChars="0"/>
              <w:rPr>
                <w:rFonts w:hint="eastAsia" w:ascii="宋体" w:hAnsi="宋体" w:eastAsia="宋体" w:cs="宋体"/>
                <w:highlight w:val="none"/>
              </w:rPr>
            </w:pPr>
            <w:r>
              <w:rPr>
                <w:rFonts w:hint="eastAsia" w:ascii="宋体" w:hAnsi="宋体" w:eastAsia="宋体" w:cs="宋体"/>
                <w:highlight w:val="none"/>
              </w:rPr>
              <w:t>被授权代表（签字）：</w:t>
            </w:r>
          </w:p>
          <w:p w14:paraId="30DE5693">
            <w:pPr>
              <w:pStyle w:val="2"/>
              <w:spacing w:line="276" w:lineRule="auto"/>
              <w:ind w:firstLine="0" w:firstLineChars="0"/>
              <w:rPr>
                <w:rFonts w:hint="eastAsia" w:ascii="宋体" w:hAnsi="宋体" w:eastAsia="宋体" w:cs="宋体"/>
                <w:highlight w:val="none"/>
              </w:rPr>
            </w:pPr>
          </w:p>
        </w:tc>
      </w:tr>
      <w:tr w14:paraId="190B2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4559" w:type="dxa"/>
            <w:noWrap w:val="0"/>
            <w:vAlign w:val="top"/>
          </w:tcPr>
          <w:p w14:paraId="1E86DA2D">
            <w:pPr>
              <w:pStyle w:val="2"/>
              <w:spacing w:line="276" w:lineRule="auto"/>
              <w:ind w:firstLine="0" w:firstLineChars="0"/>
              <w:rPr>
                <w:rFonts w:hint="eastAsia" w:ascii="宋体" w:hAnsi="宋体" w:eastAsia="宋体" w:cs="宋体"/>
                <w:highlight w:val="none"/>
              </w:rPr>
            </w:pPr>
            <w:r>
              <w:rPr>
                <w:rFonts w:hint="eastAsia" w:ascii="宋体" w:hAnsi="宋体" w:eastAsia="宋体" w:cs="宋体"/>
                <w:highlight w:val="none"/>
              </w:rPr>
              <w:t>电话：</w:t>
            </w:r>
            <w:r>
              <w:rPr>
                <w:rFonts w:hint="eastAsia" w:ascii="宋体" w:hAnsi="宋体" w:eastAsia="宋体" w:cs="宋体"/>
                <w:szCs w:val="21"/>
                <w:highlight w:val="none"/>
              </w:rPr>
              <w:t>029-86786970</w:t>
            </w:r>
          </w:p>
        </w:tc>
        <w:tc>
          <w:tcPr>
            <w:tcW w:w="4175" w:type="dxa"/>
            <w:noWrap w:val="0"/>
            <w:vAlign w:val="center"/>
          </w:tcPr>
          <w:p w14:paraId="4D0A2FFF">
            <w:pPr>
              <w:pStyle w:val="2"/>
              <w:spacing w:line="276" w:lineRule="auto"/>
              <w:ind w:firstLine="0" w:firstLineChars="0"/>
              <w:rPr>
                <w:rFonts w:hint="eastAsia" w:ascii="宋体" w:hAnsi="宋体" w:eastAsia="宋体" w:cs="宋体"/>
                <w:highlight w:val="none"/>
              </w:rPr>
            </w:pPr>
            <w:r>
              <w:rPr>
                <w:rFonts w:hint="eastAsia" w:ascii="宋体" w:hAnsi="宋体" w:cs="宋体"/>
                <w:highlight w:val="none"/>
              </w:rPr>
              <w:t>电话：</w:t>
            </w:r>
          </w:p>
        </w:tc>
      </w:tr>
      <w:tr w14:paraId="4875E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4559" w:type="dxa"/>
            <w:noWrap w:val="0"/>
            <w:vAlign w:val="top"/>
          </w:tcPr>
          <w:p w14:paraId="2E43A2BB">
            <w:pPr>
              <w:pStyle w:val="2"/>
              <w:spacing w:line="276" w:lineRule="auto"/>
              <w:ind w:firstLine="0" w:firstLineChars="0"/>
              <w:rPr>
                <w:rFonts w:hint="eastAsia" w:ascii="宋体" w:hAnsi="宋体" w:eastAsia="宋体" w:cs="宋体"/>
                <w:highlight w:val="none"/>
              </w:rPr>
            </w:pPr>
            <w:r>
              <w:rPr>
                <w:rFonts w:hint="eastAsia" w:ascii="宋体" w:hAnsi="宋体" w:eastAsia="宋体" w:cs="宋体"/>
                <w:highlight w:val="none"/>
              </w:rPr>
              <w:t>传真：</w:t>
            </w:r>
            <w:r>
              <w:rPr>
                <w:rFonts w:hint="eastAsia" w:ascii="宋体" w:hAnsi="宋体" w:eastAsia="宋体" w:cs="宋体"/>
                <w:szCs w:val="21"/>
                <w:highlight w:val="none"/>
              </w:rPr>
              <w:t>029-86786980</w:t>
            </w:r>
          </w:p>
        </w:tc>
        <w:tc>
          <w:tcPr>
            <w:tcW w:w="4175" w:type="dxa"/>
            <w:noWrap w:val="0"/>
            <w:vAlign w:val="center"/>
          </w:tcPr>
          <w:p w14:paraId="53C3477A">
            <w:pPr>
              <w:pStyle w:val="2"/>
              <w:spacing w:line="276" w:lineRule="auto"/>
              <w:ind w:firstLine="0" w:firstLineChars="0"/>
              <w:rPr>
                <w:rFonts w:hint="eastAsia" w:ascii="宋体" w:hAnsi="宋体" w:eastAsia="宋体" w:cs="宋体"/>
                <w:highlight w:val="none"/>
              </w:rPr>
            </w:pPr>
            <w:r>
              <w:rPr>
                <w:rFonts w:hint="eastAsia" w:ascii="宋体" w:hAnsi="宋体" w:cs="宋体"/>
                <w:highlight w:val="none"/>
              </w:rPr>
              <w:t>传真：</w:t>
            </w:r>
          </w:p>
        </w:tc>
      </w:tr>
      <w:tr w14:paraId="7E394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4559" w:type="dxa"/>
            <w:noWrap w:val="0"/>
            <w:vAlign w:val="top"/>
          </w:tcPr>
          <w:p w14:paraId="34B219D0">
            <w:pPr>
              <w:pStyle w:val="2"/>
              <w:spacing w:line="276" w:lineRule="auto"/>
              <w:ind w:firstLine="0" w:firstLineChars="0"/>
              <w:rPr>
                <w:rFonts w:hint="eastAsia" w:ascii="宋体" w:hAnsi="宋体" w:eastAsia="宋体" w:cs="宋体"/>
                <w:highlight w:val="none"/>
              </w:rPr>
            </w:pPr>
          </w:p>
        </w:tc>
        <w:tc>
          <w:tcPr>
            <w:tcW w:w="4175" w:type="dxa"/>
            <w:noWrap w:val="0"/>
            <w:vAlign w:val="center"/>
          </w:tcPr>
          <w:p w14:paraId="54368571">
            <w:pPr>
              <w:pStyle w:val="2"/>
              <w:spacing w:line="276" w:lineRule="auto"/>
              <w:ind w:firstLine="0" w:firstLineChars="0"/>
              <w:rPr>
                <w:rFonts w:hint="eastAsia" w:ascii="宋体" w:hAnsi="宋体" w:eastAsia="宋体" w:cs="宋体"/>
                <w:highlight w:val="none"/>
              </w:rPr>
            </w:pPr>
            <w:r>
              <w:rPr>
                <w:rFonts w:hint="eastAsia" w:ascii="宋体" w:hAnsi="宋体" w:cs="宋体"/>
                <w:highlight w:val="none"/>
              </w:rPr>
              <w:t>开户银行：</w:t>
            </w:r>
          </w:p>
        </w:tc>
      </w:tr>
      <w:tr w14:paraId="365C4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4559" w:type="dxa"/>
            <w:noWrap w:val="0"/>
            <w:vAlign w:val="top"/>
          </w:tcPr>
          <w:p w14:paraId="5E3FA79D">
            <w:pPr>
              <w:pStyle w:val="2"/>
              <w:spacing w:line="276" w:lineRule="auto"/>
              <w:ind w:firstLine="0" w:firstLineChars="0"/>
              <w:rPr>
                <w:rFonts w:hint="eastAsia" w:ascii="宋体" w:hAnsi="宋体" w:eastAsia="宋体" w:cs="宋体"/>
                <w:highlight w:val="none"/>
              </w:rPr>
            </w:pPr>
          </w:p>
        </w:tc>
        <w:tc>
          <w:tcPr>
            <w:tcW w:w="4175" w:type="dxa"/>
            <w:noWrap w:val="0"/>
            <w:vAlign w:val="center"/>
          </w:tcPr>
          <w:p w14:paraId="0D7DE69A">
            <w:pPr>
              <w:pStyle w:val="2"/>
              <w:spacing w:line="276" w:lineRule="auto"/>
              <w:ind w:firstLine="0" w:firstLineChars="0"/>
              <w:rPr>
                <w:rFonts w:hint="eastAsia" w:ascii="宋体" w:hAnsi="宋体" w:eastAsia="宋体" w:cs="宋体"/>
                <w:highlight w:val="none"/>
                <w:lang w:eastAsia="zh-CN"/>
              </w:rPr>
            </w:pPr>
            <w:r>
              <w:rPr>
                <w:rFonts w:hint="eastAsia" w:ascii="宋体" w:hAnsi="宋体" w:cs="宋体"/>
                <w:highlight w:val="none"/>
                <w:lang w:eastAsia="zh-CN"/>
              </w:rPr>
              <w:t>账户名称：</w:t>
            </w:r>
          </w:p>
        </w:tc>
      </w:tr>
      <w:tr w14:paraId="616B3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4559" w:type="dxa"/>
            <w:noWrap w:val="0"/>
            <w:vAlign w:val="top"/>
          </w:tcPr>
          <w:p w14:paraId="01D6871D">
            <w:pPr>
              <w:pStyle w:val="2"/>
              <w:spacing w:line="276" w:lineRule="auto"/>
              <w:ind w:firstLine="0" w:firstLineChars="0"/>
              <w:rPr>
                <w:rFonts w:hint="eastAsia" w:ascii="宋体" w:hAnsi="宋体" w:eastAsia="宋体" w:cs="宋体"/>
                <w:highlight w:val="none"/>
              </w:rPr>
            </w:pPr>
          </w:p>
        </w:tc>
        <w:tc>
          <w:tcPr>
            <w:tcW w:w="4175" w:type="dxa"/>
            <w:noWrap w:val="0"/>
            <w:vAlign w:val="center"/>
          </w:tcPr>
          <w:p w14:paraId="4E1CBAAE">
            <w:pPr>
              <w:pStyle w:val="2"/>
              <w:spacing w:line="276" w:lineRule="auto"/>
              <w:ind w:firstLine="0" w:firstLineChars="0"/>
              <w:jc w:val="left"/>
              <w:rPr>
                <w:rFonts w:hint="eastAsia" w:ascii="宋体" w:hAnsi="宋体" w:eastAsia="宋体" w:cs="宋体"/>
                <w:highlight w:val="none"/>
              </w:rPr>
            </w:pPr>
            <w:r>
              <w:rPr>
                <w:rFonts w:hint="eastAsia" w:ascii="宋体" w:hAnsi="宋体" w:cs="宋体"/>
                <w:highlight w:val="none"/>
              </w:rPr>
              <w:t>账</w:t>
            </w:r>
            <w:r>
              <w:rPr>
                <w:rFonts w:hint="eastAsia" w:ascii="宋体" w:hAnsi="宋体" w:cs="宋体"/>
                <w:highlight w:val="none"/>
                <w:lang w:eastAsia="zh-CN"/>
              </w:rPr>
              <w:t>号</w:t>
            </w:r>
            <w:r>
              <w:rPr>
                <w:rFonts w:hint="eastAsia" w:ascii="宋体" w:hAnsi="宋体" w:cs="宋体"/>
                <w:highlight w:val="none"/>
              </w:rPr>
              <w:t>：</w:t>
            </w:r>
          </w:p>
        </w:tc>
      </w:tr>
      <w:tr w14:paraId="43A9E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4559" w:type="dxa"/>
            <w:noWrap w:val="0"/>
            <w:vAlign w:val="top"/>
          </w:tcPr>
          <w:p w14:paraId="729C1407">
            <w:pPr>
              <w:pStyle w:val="2"/>
              <w:spacing w:line="276" w:lineRule="auto"/>
              <w:ind w:firstLine="0" w:firstLineChars="0"/>
              <w:rPr>
                <w:rFonts w:hint="default" w:ascii="宋体" w:hAnsi="宋体" w:eastAsia="宋体" w:cs="宋体"/>
                <w:highlight w:val="none"/>
                <w:lang w:val="en-US" w:eastAsia="zh-CN"/>
              </w:rPr>
            </w:pPr>
            <w:r>
              <w:rPr>
                <w:rFonts w:hint="eastAsia" w:ascii="宋体" w:hAnsi="宋体" w:cs="宋体"/>
                <w:highlight w:val="none"/>
                <w:lang w:eastAsia="zh-CN"/>
              </w:rPr>
              <w:t>签订日期：</w:t>
            </w:r>
            <w:r>
              <w:rPr>
                <w:rFonts w:hint="eastAsia" w:ascii="宋体" w:hAnsi="宋体" w:cs="宋体"/>
                <w:highlight w:val="none"/>
                <w:lang w:val="en-US" w:eastAsia="zh-CN"/>
              </w:rPr>
              <w:t xml:space="preserve">    </w:t>
            </w:r>
            <w:r>
              <w:rPr>
                <w:rFonts w:hint="eastAsia" w:ascii="宋体" w:hAnsi="宋体" w:cs="宋体"/>
                <w:highlight w:val="none"/>
                <w:lang w:eastAsia="zh-CN"/>
              </w:rPr>
              <w:t>年</w:t>
            </w:r>
            <w:r>
              <w:rPr>
                <w:rFonts w:hint="eastAsia" w:ascii="宋体" w:hAnsi="宋体" w:cs="宋体"/>
                <w:highlight w:val="none"/>
                <w:lang w:val="en-US" w:eastAsia="zh-CN"/>
              </w:rPr>
              <w:t xml:space="preserve">   </w:t>
            </w:r>
            <w:r>
              <w:rPr>
                <w:rFonts w:hint="eastAsia" w:ascii="宋体" w:hAnsi="宋体" w:cs="宋体"/>
                <w:highlight w:val="none"/>
                <w:lang w:eastAsia="zh-CN"/>
              </w:rPr>
              <w:t>月</w:t>
            </w:r>
            <w:r>
              <w:rPr>
                <w:rFonts w:hint="eastAsia" w:ascii="宋体" w:hAnsi="宋体" w:cs="宋体"/>
                <w:highlight w:val="none"/>
                <w:lang w:val="en-US" w:eastAsia="zh-CN"/>
              </w:rPr>
              <w:t xml:space="preserve">    </w:t>
            </w:r>
            <w:r>
              <w:rPr>
                <w:rFonts w:hint="eastAsia" w:ascii="宋体" w:hAnsi="宋体" w:cs="宋体"/>
                <w:highlight w:val="none"/>
                <w:lang w:eastAsia="zh-CN"/>
              </w:rPr>
              <w:t>日</w:t>
            </w:r>
            <w:r>
              <w:rPr>
                <w:rFonts w:hint="eastAsia" w:ascii="宋体" w:hAnsi="宋体" w:cs="宋体"/>
                <w:highlight w:val="none"/>
                <w:lang w:val="en-US" w:eastAsia="zh-CN"/>
              </w:rPr>
              <w:t xml:space="preserve"> </w:t>
            </w:r>
          </w:p>
        </w:tc>
        <w:tc>
          <w:tcPr>
            <w:tcW w:w="4175" w:type="dxa"/>
            <w:noWrap w:val="0"/>
            <w:vAlign w:val="center"/>
          </w:tcPr>
          <w:p w14:paraId="04D336CF">
            <w:pPr>
              <w:pStyle w:val="2"/>
              <w:spacing w:line="276" w:lineRule="auto"/>
              <w:ind w:firstLine="0" w:firstLineChars="0"/>
              <w:jc w:val="left"/>
              <w:rPr>
                <w:rFonts w:hint="eastAsia" w:ascii="宋体" w:hAnsi="宋体" w:cs="宋体"/>
                <w:highlight w:val="none"/>
              </w:rPr>
            </w:pPr>
            <w:r>
              <w:rPr>
                <w:rFonts w:hint="eastAsia" w:ascii="宋体" w:hAnsi="宋体" w:cs="宋体"/>
                <w:highlight w:val="none"/>
                <w:lang w:eastAsia="zh-CN"/>
              </w:rPr>
              <w:t>签订日期：</w:t>
            </w:r>
            <w:r>
              <w:rPr>
                <w:rFonts w:hint="eastAsia" w:ascii="宋体" w:hAnsi="宋体" w:cs="宋体"/>
                <w:highlight w:val="none"/>
                <w:lang w:val="en-US" w:eastAsia="zh-CN"/>
              </w:rPr>
              <w:t xml:space="preserve">    </w:t>
            </w:r>
            <w:r>
              <w:rPr>
                <w:rFonts w:hint="eastAsia" w:ascii="宋体" w:hAnsi="宋体" w:cs="宋体"/>
                <w:highlight w:val="none"/>
                <w:lang w:eastAsia="zh-CN"/>
              </w:rPr>
              <w:t>年</w:t>
            </w:r>
            <w:r>
              <w:rPr>
                <w:rFonts w:hint="eastAsia" w:ascii="宋体" w:hAnsi="宋体" w:cs="宋体"/>
                <w:highlight w:val="none"/>
                <w:lang w:val="en-US" w:eastAsia="zh-CN"/>
              </w:rPr>
              <w:t xml:space="preserve">   </w:t>
            </w:r>
            <w:r>
              <w:rPr>
                <w:rFonts w:hint="eastAsia" w:ascii="宋体" w:hAnsi="宋体" w:cs="宋体"/>
                <w:highlight w:val="none"/>
                <w:lang w:eastAsia="zh-CN"/>
              </w:rPr>
              <w:t>月</w:t>
            </w:r>
            <w:r>
              <w:rPr>
                <w:rFonts w:hint="eastAsia" w:ascii="宋体" w:hAnsi="宋体" w:cs="宋体"/>
                <w:highlight w:val="none"/>
                <w:lang w:val="en-US" w:eastAsia="zh-CN"/>
              </w:rPr>
              <w:t xml:space="preserve">    </w:t>
            </w:r>
            <w:r>
              <w:rPr>
                <w:rFonts w:hint="eastAsia" w:ascii="宋体" w:hAnsi="宋体" w:cs="宋体"/>
                <w:highlight w:val="none"/>
                <w:lang w:eastAsia="zh-CN"/>
              </w:rPr>
              <w:t>日</w:t>
            </w:r>
            <w:r>
              <w:rPr>
                <w:rFonts w:hint="eastAsia" w:ascii="宋体" w:hAnsi="宋体" w:cs="宋体"/>
                <w:highlight w:val="none"/>
                <w:lang w:val="en-US" w:eastAsia="zh-CN"/>
              </w:rPr>
              <w:t xml:space="preserve"> </w:t>
            </w:r>
          </w:p>
        </w:tc>
      </w:tr>
    </w:tbl>
    <w:p w14:paraId="46A8CDC3">
      <w:pPr>
        <w:rPr>
          <w:rFonts w:hint="eastAsia"/>
          <w:highlight w:val="none"/>
        </w:rPr>
      </w:pPr>
    </w:p>
    <w:p w14:paraId="673D0B11"/>
    <w:p w14:paraId="47E9A68B">
      <w:pPr>
        <w:pStyle w:val="14"/>
        <w:rPr>
          <w:rFonts w:hint="eastAsia"/>
          <w:lang w:val="en-US" w:eastAsia="zh-Hans"/>
        </w:rPr>
      </w:pPr>
    </w:p>
    <w:p w14:paraId="6B5E0CD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8ABEDD"/>
    <w:multiLevelType w:val="singleLevel"/>
    <w:tmpl w:val="BC8ABEDD"/>
    <w:lvl w:ilvl="0" w:tentative="0">
      <w:start w:val="1"/>
      <w:numFmt w:val="decimal"/>
      <w:suff w:val="space"/>
      <w:lvlText w:val="%1."/>
      <w:lvlJc w:val="left"/>
    </w:lvl>
  </w:abstractNum>
  <w:abstractNum w:abstractNumId="1">
    <w:nsid w:val="FF6CC0D5"/>
    <w:multiLevelType w:val="singleLevel"/>
    <w:tmpl w:val="FF6CC0D5"/>
    <w:lvl w:ilvl="0" w:tentative="0">
      <w:start w:val="2"/>
      <w:numFmt w:val="decimal"/>
      <w:suff w:val="space"/>
      <w:lvlText w:val="%1."/>
      <w:lvlJc w:val="left"/>
    </w:lvl>
  </w:abstractNum>
  <w:abstractNum w:abstractNumId="2">
    <w:nsid w:val="288423DB"/>
    <w:multiLevelType w:val="singleLevel"/>
    <w:tmpl w:val="288423DB"/>
    <w:lvl w:ilvl="0" w:tentative="0">
      <w:start w:val="1"/>
      <w:numFmt w:val="decimal"/>
      <w:suff w:val="space"/>
      <w:lvlText w:val="%1."/>
      <w:lvlJc w:val="left"/>
    </w:lvl>
  </w:abstractNum>
  <w:abstractNum w:abstractNumId="3">
    <w:nsid w:val="2BCC1B00"/>
    <w:multiLevelType w:val="singleLevel"/>
    <w:tmpl w:val="2BCC1B00"/>
    <w:lvl w:ilvl="0" w:tentative="0">
      <w:start w:val="1"/>
      <w:numFmt w:val="decimal"/>
      <w:suff w:val="space"/>
      <w:lvlText w:val="%1."/>
      <w:lvlJc w:val="left"/>
    </w:lvl>
  </w:abstractNum>
  <w:abstractNum w:abstractNumId="4">
    <w:nsid w:val="659EC81A"/>
    <w:multiLevelType w:val="singleLevel"/>
    <w:tmpl w:val="659EC81A"/>
    <w:lvl w:ilvl="0" w:tentative="0">
      <w:start w:val="1"/>
      <w:numFmt w:val="decimal"/>
      <w:lvlText w:val="%1."/>
      <w:lvlJc w:val="left"/>
      <w:pPr>
        <w:tabs>
          <w:tab w:val="left" w:pos="312"/>
        </w:tabs>
      </w:pPr>
    </w:lvl>
  </w:abstractNum>
  <w:abstractNum w:abstractNumId="5">
    <w:nsid w:val="6E7A1E42"/>
    <w:multiLevelType w:val="singleLevel"/>
    <w:tmpl w:val="6E7A1E42"/>
    <w:lvl w:ilvl="0" w:tentative="0">
      <w:start w:val="1"/>
      <w:numFmt w:val="decimal"/>
      <w:lvlText w:val="%1."/>
      <w:lvlJc w:val="left"/>
      <w:pPr>
        <w:tabs>
          <w:tab w:val="left" w:pos="312"/>
        </w:tabs>
      </w:pPr>
    </w:lvl>
  </w:abstractNum>
  <w:abstractNum w:abstractNumId="6">
    <w:nsid w:val="79FBE585"/>
    <w:multiLevelType w:val="singleLevel"/>
    <w:tmpl w:val="79FBE585"/>
    <w:lvl w:ilvl="0" w:tentative="0">
      <w:start w:val="1"/>
      <w:numFmt w:val="decimal"/>
      <w:suff w:val="space"/>
      <w:lvlText w:val="%1."/>
      <w:lvlJc w:val="left"/>
    </w:lvl>
  </w:abstractNum>
  <w:abstractNum w:abstractNumId="7">
    <w:nsid w:val="7BE88627"/>
    <w:multiLevelType w:val="singleLevel"/>
    <w:tmpl w:val="7BE88627"/>
    <w:lvl w:ilvl="0" w:tentative="0">
      <w:start w:val="1"/>
      <w:numFmt w:val="decimal"/>
      <w:suff w:val="space"/>
      <w:lvlText w:val="%1."/>
      <w:lvlJc w:val="left"/>
    </w:lvl>
  </w:abstractNum>
  <w:num w:numId="1">
    <w:abstractNumId w:val="5"/>
  </w:num>
  <w:num w:numId="2">
    <w:abstractNumId w:val="1"/>
  </w:num>
  <w:num w:numId="3">
    <w:abstractNumId w:val="4"/>
  </w:num>
  <w:num w:numId="4">
    <w:abstractNumId w:val="7"/>
  </w:num>
  <w:num w:numId="5">
    <w:abstractNumId w:val="0"/>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25279C"/>
    <w:rsid w:val="282527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pPr>
      <w:spacing w:after="120"/>
      <w:jc w:val="both"/>
    </w:pPr>
    <w:rPr>
      <w:rFonts w:ascii="Calibri" w:eastAsia="宋体" w:cs="Arial"/>
      <w:color w:val="auto"/>
      <w:kern w:val="2"/>
      <w:sz w:val="21"/>
      <w:lang w:eastAsia="zh-CN" w:bidi="ar-SA"/>
    </w:rPr>
  </w:style>
  <w:style w:type="paragraph" w:styleId="4">
    <w:name w:val="Block Text"/>
    <w:basedOn w:val="1"/>
    <w:qFormat/>
    <w:uiPriority w:val="0"/>
    <w:pPr>
      <w:ind w:left="-78" w:leftChars="-37" w:right="-162" w:rightChars="-77" w:firstLine="78" w:firstLineChars="37"/>
      <w:jc w:val="center"/>
    </w:pPr>
    <w:rPr>
      <w:rFonts w:ascii="宋体" w:hAnsi="宋体"/>
      <w:szCs w:val="21"/>
    </w:rPr>
  </w:style>
  <w:style w:type="paragraph" w:customStyle="1" w:styleId="7">
    <w:name w:val="样式 首行缩进:  2 字符"/>
    <w:basedOn w:val="1"/>
    <w:qFormat/>
    <w:uiPriority w:val="0"/>
    <w:pPr>
      <w:spacing w:line="400" w:lineRule="exact"/>
      <w:ind w:firstLine="200" w:firstLineChars="200"/>
      <w:jc w:val="both"/>
    </w:pPr>
    <w:rPr>
      <w:rFonts w:ascii="Calibri" w:eastAsia="宋体" w:cs="宋体"/>
      <w:color w:val="auto"/>
      <w:kern w:val="2"/>
      <w:sz w:val="21"/>
      <w:lang w:eastAsia="zh-CN" w:bidi="ar-SA"/>
    </w:rPr>
  </w:style>
  <w:style w:type="paragraph" w:customStyle="1" w:styleId="8">
    <w:name w:val="Body text|2"/>
    <w:basedOn w:val="1"/>
    <w:qFormat/>
    <w:uiPriority w:val="0"/>
    <w:pPr>
      <w:spacing w:after="200" w:line="305" w:lineRule="exact"/>
      <w:ind w:left="520" w:firstLine="480"/>
      <w:jc w:val="left"/>
    </w:pPr>
    <w:rPr>
      <w:rFonts w:ascii="宋体" w:hAnsi="宋体" w:eastAsia="宋体" w:cs="宋体"/>
      <w:color w:val="E47A6D"/>
      <w:kern w:val="0"/>
      <w:sz w:val="20"/>
      <w:szCs w:val="20"/>
      <w:lang w:val="zh-TW" w:eastAsia="zh-TW" w:bidi="zh-TW"/>
    </w:rPr>
  </w:style>
  <w:style w:type="paragraph" w:customStyle="1" w:styleId="9">
    <w:name w:val="Body text|1"/>
    <w:basedOn w:val="1"/>
    <w:qFormat/>
    <w:uiPriority w:val="0"/>
    <w:pPr>
      <w:spacing w:line="434" w:lineRule="auto"/>
      <w:ind w:firstLine="400"/>
    </w:pPr>
    <w:rPr>
      <w:rFonts w:ascii="宋体" w:hAnsi="宋体" w:eastAsia="宋体" w:cs="宋体"/>
      <w:sz w:val="28"/>
      <w:szCs w:val="28"/>
      <w:lang w:val="zh-TW" w:eastAsia="zh-TW" w:bidi="zh-TW"/>
    </w:rPr>
  </w:style>
  <w:style w:type="paragraph" w:customStyle="1" w:styleId="10">
    <w:name w:val="正文1"/>
    <w:basedOn w:val="1"/>
    <w:qFormat/>
    <w:uiPriority w:val="0"/>
    <w:pPr>
      <w:autoSpaceDE w:val="0"/>
      <w:autoSpaceDN w:val="0"/>
      <w:adjustRightInd w:val="0"/>
      <w:spacing w:line="288" w:lineRule="auto"/>
      <w:ind w:firstLine="480"/>
      <w:jc w:val="left"/>
      <w:textAlignment w:val="baseline"/>
    </w:pPr>
    <w:rPr>
      <w:rFonts w:ascii="宋体"/>
      <w:kern w:val="0"/>
      <w:sz w:val="24"/>
      <w:szCs w:val="20"/>
    </w:rPr>
  </w:style>
  <w:style w:type="paragraph" w:customStyle="1" w:styleId="11">
    <w:name w:val="大分"/>
    <w:basedOn w:val="1"/>
    <w:qFormat/>
    <w:uiPriority w:val="0"/>
    <w:pPr>
      <w:autoSpaceDE w:val="0"/>
      <w:autoSpaceDN w:val="0"/>
      <w:adjustRightInd w:val="0"/>
      <w:spacing w:line="288" w:lineRule="auto"/>
      <w:ind w:firstLine="480"/>
      <w:jc w:val="left"/>
      <w:textAlignment w:val="baseline"/>
    </w:pPr>
    <w:rPr>
      <w:rFonts w:ascii="宋体"/>
      <w:kern w:val="0"/>
      <w:sz w:val="24"/>
      <w:szCs w:val="20"/>
    </w:rPr>
  </w:style>
  <w:style w:type="paragraph" w:customStyle="1" w:styleId="12">
    <w:name w:val="_Style 5"/>
    <w:basedOn w:val="1"/>
    <w:next w:val="13"/>
    <w:qFormat/>
    <w:uiPriority w:val="0"/>
    <w:pPr>
      <w:ind w:firstLine="420" w:firstLineChars="200"/>
    </w:pPr>
  </w:style>
  <w:style w:type="paragraph" w:customStyle="1" w:styleId="13">
    <w:name w:val="列出段落1"/>
    <w:basedOn w:val="1"/>
    <w:qFormat/>
    <w:uiPriority w:val="34"/>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2025-11-14T08:02:00Z</dcterms:created>
  <dc:creator>轻歌</dc:creator>
  <cp:lastModifiedBy>轻歌</cp:lastModifiedBy>
  <dcterms:modified xsi:type="dcterms:W3CDTF">2025-11-14T08:02:36Z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5AA93D87846F4C168A901886D406B0FF_11</vt:lpwstr>
  </property>
  <property fmtid="{D5CDD505-2E9C-101B-9397-08002B2CF9AE}" pid="4" name="KSOTemplateDocerSaveRecord">
    <vt:lpwstr>eyJoZGlkIjoiYmViNjU3M2QzMjA1N2E0Y2Q3ZWFkZmExNWRhZDA0MjIiLCJ1c2VySWQiOiI0NTk5NjE1OTEifQ==</vt:lpwstr>
  </property>
</Properties>
</file>