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版本号：DXSY2025-04120251114001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中文、外文医学文献数据库及中华医学期刊全文数据库服务项目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DXSY2025-041</w:t>
      </w:r>
      <w:r>
        <w:br/>
      </w:r>
      <w:r>
        <w:br/>
      </w:r>
      <w:r>
        <w:br/>
      </w:r>
    </w:p>
    <w:p>
      <w:pPr>
        <w:pStyle w:val="null3"/>
        <w:jc w:val="center"/>
        <w:outlineLvl w:val="2"/>
      </w:pPr>
      <w:r>
        <w:rPr>
          <w:rFonts w:ascii="仿宋_GB2312" w:hAnsi="仿宋_GB2312" w:cs="仿宋_GB2312" w:eastAsia="仿宋_GB2312"/>
          <w:sz w:val="28"/>
          <w:b/>
        </w:rPr>
        <w:t>西安市第九医院</w:t>
      </w:r>
    </w:p>
    <w:p>
      <w:pPr>
        <w:pStyle w:val="null3"/>
        <w:jc w:val="center"/>
        <w:outlineLvl w:val="2"/>
      </w:pPr>
      <w:r>
        <w:rPr>
          <w:rFonts w:ascii="仿宋_GB2312" w:hAnsi="仿宋_GB2312" w:cs="仿宋_GB2312" w:eastAsia="仿宋_GB2312"/>
          <w:sz w:val="28"/>
          <w:b/>
        </w:rPr>
        <w:t>陕西东欣世源招标咨询有限公司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陕西东欣世源招标咨询有限公司</w:t>
      </w:r>
      <w:r>
        <w:rPr>
          <w:rFonts w:ascii="仿宋_GB2312" w:hAnsi="仿宋_GB2312" w:cs="仿宋_GB2312" w:eastAsia="仿宋_GB2312"/>
        </w:rPr>
        <w:t>（以下简称“代理机构”）受</w:t>
      </w:r>
      <w:r>
        <w:rPr>
          <w:rFonts w:ascii="仿宋_GB2312" w:hAnsi="仿宋_GB2312" w:cs="仿宋_GB2312" w:eastAsia="仿宋_GB2312"/>
        </w:rPr>
        <w:t>西安市第九医院</w:t>
      </w:r>
      <w:r>
        <w:rPr>
          <w:rFonts w:ascii="仿宋_GB2312" w:hAnsi="仿宋_GB2312" w:cs="仿宋_GB2312" w:eastAsia="仿宋_GB2312"/>
        </w:rPr>
        <w:t>委托，拟对</w:t>
      </w:r>
      <w:r>
        <w:rPr>
          <w:rFonts w:ascii="仿宋_GB2312" w:hAnsi="仿宋_GB2312" w:cs="仿宋_GB2312" w:eastAsia="仿宋_GB2312"/>
        </w:rPr>
        <w:t>中文、外文医学文献数据库及中华医学期刊全文数据库服务项目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DXSY2025-041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中文、外文医学文献数据库及中华医学期刊全文数据库服务项目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满足医院广大医务工作者在医教研工作中对文献资源的需求及满足《住院医师规范化培训基地评估指标》的要求，保障各学科、各专业、多层次医务人员的文献信息来源。现申请购买外文医学文献数据库、中华医学期刊全文数据库。</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进行电子签章。</w:t>
      </w:r>
    </w:p>
    <w:p>
      <w:pPr>
        <w:pStyle w:val="null3"/>
      </w:pPr>
      <w:r>
        <w:rPr>
          <w:rFonts w:ascii="仿宋_GB2312" w:hAnsi="仿宋_GB2312" w:cs="仿宋_GB2312" w:eastAsia="仿宋_GB2312"/>
        </w:rPr>
        <w:t>2、供应商应授权合法的人员参加采购全过程：法定代表人/负责人直接参加的，须递交《法定代表人/负责人身份证明》和身份证；法定代表人/负责人授权代表参加的，须递交《法定代表人/负责人授权书》和被授权人身份证及被授权代表本单位证明（提供在磋商截止时间前近三个月社会保险缴纳证明），并进行电子签章。</w:t>
      </w:r>
    </w:p>
    <w:p>
      <w:pPr>
        <w:pStyle w:val="null3"/>
      </w:pPr>
      <w:r>
        <w:rPr>
          <w:rFonts w:ascii="仿宋_GB2312" w:hAnsi="仿宋_GB2312" w:cs="仿宋_GB2312" w:eastAsia="仿宋_GB2312"/>
        </w:rPr>
        <w:t>3、财务状况证明：提供具有财务审计资质单位出具的2023年度或2024年度的经审计的财务报告或磋商前六个月内其基本账户银行出具的资信证明或财政部门认可的政府采购专业担保机构出具的担保函，以上形式的证明资料提供任何一种即可。其他组织和自然人提供银行出具的资信证明或财务报表，并进行电子签章。</w:t>
      </w:r>
    </w:p>
    <w:p>
      <w:pPr>
        <w:pStyle w:val="null3"/>
      </w:pPr>
      <w:r>
        <w:rPr>
          <w:rFonts w:ascii="仿宋_GB2312" w:hAnsi="仿宋_GB2312" w:cs="仿宋_GB2312" w:eastAsia="仿宋_GB2312"/>
        </w:rPr>
        <w:t>4、纳税证明：法人提供自2025年1月1日以来至少一个月的纳税证明或完税证明(增值税、企业所得税至少一种)，纳税证明或完税证明上应有代收机构或税务机关的公章或业务专用章；其他组织和自然人提供自2025年1月1日以来至少一个月缴纳税收的凭据；依法免税的投标人应提供相关证明文件，并进行电子签章。</w:t>
      </w:r>
    </w:p>
    <w:p>
      <w:pPr>
        <w:pStyle w:val="null3"/>
      </w:pPr>
      <w:r>
        <w:rPr>
          <w:rFonts w:ascii="仿宋_GB2312" w:hAnsi="仿宋_GB2312" w:cs="仿宋_GB2312" w:eastAsia="仿宋_GB2312"/>
        </w:rPr>
        <w:t>5、社保缴纳证明：提供自2025年1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rFonts w:ascii="仿宋_GB2312" w:hAnsi="仿宋_GB2312" w:cs="仿宋_GB2312" w:eastAsia="仿宋_GB2312"/>
        </w:rPr>
        <w:t>6、参加本次政府采购活动前三年内，在经营活动中没有重大违法记录：投标人需在项目电子化交易系统中按要求填写《无重大违法记录声明》完成承诺，并进行电子签章。</w:t>
      </w:r>
    </w:p>
    <w:p>
      <w:pPr>
        <w:pStyle w:val="null3"/>
      </w:pPr>
      <w:r>
        <w:rPr>
          <w:rFonts w:ascii="仿宋_GB2312" w:hAnsi="仿宋_GB2312" w:cs="仿宋_GB2312" w:eastAsia="仿宋_GB2312"/>
        </w:rPr>
        <w:t>7、履约能力证明：投标人需在项目电子化交易系统中按要求填写《具有履行合同所必需的设备和专业技术能力的承诺书》完成承诺，并进行电子签章。</w:t>
      </w:r>
    </w:p>
    <w:p>
      <w:pPr>
        <w:pStyle w:val="null3"/>
      </w:pPr>
      <w:r>
        <w:rPr>
          <w:rFonts w:ascii="仿宋_GB2312" w:hAnsi="仿宋_GB2312" w:cs="仿宋_GB2312" w:eastAsia="仿宋_GB2312"/>
        </w:rPr>
        <w:t>8、非联合体磋商承诺函：投标人需在项目电子化交易系统中按要求填写非联合体函诺函，并进行电子签章。</w:t>
      </w:r>
    </w:p>
    <w:p>
      <w:pPr>
        <w:pStyle w:val="null3"/>
      </w:pPr>
      <w:r>
        <w:rPr>
          <w:rFonts w:ascii="仿宋_GB2312" w:hAnsi="仿宋_GB2312" w:cs="仿宋_GB2312" w:eastAsia="仿宋_GB2312"/>
        </w:rPr>
        <w:t>9、本公司法人、出资人、参股人无招标方在职工作人员：投标人需在项目电子化交易系统中按要求填写“本公司法人、出资人、参股人无招标方在职工作人员的承诺函，并进行电子签章。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进行电子签章。</w:t>
      </w:r>
    </w:p>
    <w:p>
      <w:pPr>
        <w:pStyle w:val="null3"/>
      </w:pPr>
      <w:r>
        <w:rPr>
          <w:rFonts w:ascii="仿宋_GB2312" w:hAnsi="仿宋_GB2312" w:cs="仿宋_GB2312" w:eastAsia="仿宋_GB2312"/>
        </w:rPr>
        <w:t>2、供应商应授权合法的人员参加采购全过程：法定代表人/负责人直接参加的，须递交《法定代表人/负责人身份证明》和身份证；法定代表人/负责人授权代表参加的，须递交《法定代表人/负责人授权书》和被授权人身份证及被授权代表本单位证明（提供在磋商截止时间前近三个月社会保险缴纳证明），并进行电子签章。</w:t>
      </w:r>
    </w:p>
    <w:p>
      <w:pPr>
        <w:pStyle w:val="null3"/>
      </w:pPr>
      <w:r>
        <w:rPr>
          <w:rFonts w:ascii="仿宋_GB2312" w:hAnsi="仿宋_GB2312" w:cs="仿宋_GB2312" w:eastAsia="仿宋_GB2312"/>
        </w:rPr>
        <w:t>3、财务状况证明：提供具有财务审计资质单位出具的2023年度或2024年度的经审计的财务报告或磋商前六个月内其基本账户银行出具的资信证明或财政部门认可的政府采购专业担保机构出具的担保函，以上形式的证明资料提供任何一种即可。其他组织和自然人提供银行出具的资信证明或财务报表，并进行电子签章。</w:t>
      </w:r>
    </w:p>
    <w:p>
      <w:pPr>
        <w:pStyle w:val="null3"/>
      </w:pPr>
      <w:r>
        <w:rPr>
          <w:rFonts w:ascii="仿宋_GB2312" w:hAnsi="仿宋_GB2312" w:cs="仿宋_GB2312" w:eastAsia="仿宋_GB2312"/>
        </w:rPr>
        <w:t>4、纳税证明：法人提供自2025年1月1日以来至少一个月的纳税证明或完税证明(增值税、企业所得税至少一种)，纳税证明或完税证明上应有代收机构或税务机关的公章或业务专用章；其他组织和自然人提供自2025年1月1日以来至少一个月缴纳税收的凭据；依法免税的投标人应提供相关证明文件，并进行电子签章。</w:t>
      </w:r>
    </w:p>
    <w:p>
      <w:pPr>
        <w:pStyle w:val="null3"/>
      </w:pPr>
      <w:r>
        <w:rPr>
          <w:rFonts w:ascii="仿宋_GB2312" w:hAnsi="仿宋_GB2312" w:cs="仿宋_GB2312" w:eastAsia="仿宋_GB2312"/>
        </w:rPr>
        <w:t>5、社保缴纳证明：提供自2025年1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rFonts w:ascii="仿宋_GB2312" w:hAnsi="仿宋_GB2312" w:cs="仿宋_GB2312" w:eastAsia="仿宋_GB2312"/>
        </w:rPr>
        <w:t>6、参加本次政府采购活动前三年内，在经营活动中没有重大违法记录：投标人需在项目电子化交易系统中按要求填写《无重大违法记录声明》完成承诺，并进行电子签章。</w:t>
      </w:r>
    </w:p>
    <w:p>
      <w:pPr>
        <w:pStyle w:val="null3"/>
      </w:pPr>
      <w:r>
        <w:rPr>
          <w:rFonts w:ascii="仿宋_GB2312" w:hAnsi="仿宋_GB2312" w:cs="仿宋_GB2312" w:eastAsia="仿宋_GB2312"/>
        </w:rPr>
        <w:t>7、履约能力证明：投标人需在项目电子化交易系统中按要求填写《具有履行合同所必需的设备和专业技术能力的承诺书》完成承诺，并进行电子签章。</w:t>
      </w:r>
    </w:p>
    <w:p>
      <w:pPr>
        <w:pStyle w:val="null3"/>
      </w:pPr>
      <w:r>
        <w:rPr>
          <w:rFonts w:ascii="仿宋_GB2312" w:hAnsi="仿宋_GB2312" w:cs="仿宋_GB2312" w:eastAsia="仿宋_GB2312"/>
        </w:rPr>
        <w:t>8、非联合体磋商承诺函：投标人需在项目电子化交易系统中按要求填写非联合体函诺函，并进行电子签章。</w:t>
      </w:r>
    </w:p>
    <w:p>
      <w:pPr>
        <w:pStyle w:val="null3"/>
      </w:pPr>
      <w:r>
        <w:rPr>
          <w:rFonts w:ascii="仿宋_GB2312" w:hAnsi="仿宋_GB2312" w:cs="仿宋_GB2312" w:eastAsia="仿宋_GB2312"/>
        </w:rPr>
        <w:t>9、本公司法人、出资人、参股人无招标方在职工作人员：投标人需在项目电子化交易系统中按要求填写“本公司法人、出资人、参股人无招标方在职工作人员的承诺函，并进行电子签章。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029-61165668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陕西东欣世源招标咨询有限公司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陕西省西安市高新路2号西部国际广场B座28楼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余小龙、张恒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13609197871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采购包1：87,000.00元</w:t>
            </w:r>
          </w:p>
          <w:p>
            <w:pPr>
              <w:pStyle w:val="null3"/>
            </w:pPr>
            <w:r>
              <w:rPr>
                <w:rFonts w:ascii="仿宋_GB2312" w:hAnsi="仿宋_GB2312" w:cs="仿宋_GB2312" w:eastAsia="仿宋_GB2312"/>
              </w:rPr>
              <w:t>采购包2：273,000.00元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说明：中标人在本合同签订前向采购人指定账户交纳履约保证金，为本合同总价款的5%，服务期限届满后60日内，在扣除相应款项（若有）后，剩余部分无息返还。交纳形式为银行转账非现金形式。</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说明：中标人在本合同签订前向采购人指定账户交纳履约保证金，为本合同总价款的5%，服务期限届满后60日内，在扣除相应款项（若有）后，剩余部分无息返还。交纳形式为银行转账非现金形式。</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代理服务费收费标准：1、参照国家计委计价格[2002]1980号及发改办价格[2003]857号通知规定按采购预算金额下浮20%，由中标人支付代理服务费。 2、支付方式：中标人应在领取通知书的同时，支付本项目代理服务费。 收款账户信息如下： 收款单位：陕西东欣世源招标咨询有限公司 开户银行：中国建设银行股份有限公司西安高新科技支行； 银行账号：61050192570000000695 3、代理服务费按差额定率累进法计算。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西安市第九医院</w:t>
      </w:r>
      <w:r>
        <w:rPr>
          <w:rFonts w:ascii="仿宋_GB2312" w:hAnsi="仿宋_GB2312" w:cs="仿宋_GB2312" w:eastAsia="仿宋_GB2312"/>
        </w:rPr>
        <w:t>和</w:t>
      </w:r>
      <w:r>
        <w:rPr>
          <w:rFonts w:ascii="仿宋_GB2312" w:hAnsi="仿宋_GB2312" w:cs="仿宋_GB2312" w:eastAsia="仿宋_GB2312"/>
        </w:rPr>
        <w:t>陕西东欣世源招标咨询有限公司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西安市第九医院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陕西东欣世源招标咨询有限公司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西安市第九医院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陕西东欣世源招标咨询有限公司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陕西东欣世源招标咨询有限公司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陕西东欣世源招标咨询有限公司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陕西东欣世源招标咨询有限公司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联系人：余小龙</w:t>
      </w:r>
    </w:p>
    <w:p>
      <w:pPr>
        <w:pStyle w:val="null3"/>
      </w:pPr>
      <w:r>
        <w:rPr>
          <w:rFonts w:ascii="仿宋_GB2312" w:hAnsi="仿宋_GB2312" w:cs="仿宋_GB2312" w:eastAsia="仿宋_GB2312"/>
        </w:rPr>
        <w:t>联系电话：13609197871（邮箱：sxdxsy@163.com）</w:t>
      </w:r>
    </w:p>
    <w:p>
      <w:pPr>
        <w:pStyle w:val="null3"/>
      </w:pPr>
      <w:r>
        <w:rPr>
          <w:rFonts w:ascii="仿宋_GB2312" w:hAnsi="仿宋_GB2312" w:cs="仿宋_GB2312" w:eastAsia="仿宋_GB2312"/>
        </w:rPr>
        <w:t>地址：西安市高新路2号西部国际广场B座2838室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满足医院广大医务工作者在医教研工作中对文献资源的需求及满足《住院医师规范化培训基地评估指标》的要求，保障各学科、各专业、多层次医务人员的文献信息来源。现申请购买外文医学文献数据库、中华医学期刊全文数据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87,000.00</w:t>
      </w:r>
    </w:p>
    <w:p>
      <w:pPr>
        <w:pStyle w:val="null3"/>
      </w:pPr>
      <w:r>
        <w:rPr>
          <w:rFonts w:ascii="仿宋_GB2312" w:hAnsi="仿宋_GB2312" w:cs="仿宋_GB2312" w:eastAsia="仿宋_GB2312"/>
        </w:rPr>
        <w:t>采购包最高限价（元）: 87,000.00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中文医学文献数据库</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87,000.00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273,000.00</w:t>
      </w:r>
    </w:p>
    <w:p>
      <w:pPr>
        <w:pStyle w:val="null3"/>
      </w:pPr>
      <w:r>
        <w:rPr>
          <w:rFonts w:ascii="仿宋_GB2312" w:hAnsi="仿宋_GB2312" w:cs="仿宋_GB2312" w:eastAsia="仿宋_GB2312"/>
        </w:rPr>
        <w:t>采购包最高限价（元）: 273,000.00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外文医学文献数据库及中华医学期刊全文数据库</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273,000.00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标的名称：中文医学文献数据库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1）中文医学文献数据库可查询的期刊数量</w:t>
            </w:r>
            <w:r>
              <w:rPr>
                <w:rFonts w:ascii="仿宋_GB2312" w:hAnsi="仿宋_GB2312" w:cs="仿宋_GB2312" w:eastAsia="仿宋_GB2312"/>
                <w:sz w:val="24"/>
              </w:rPr>
              <w:t>≥</w:t>
            </w:r>
            <w:r>
              <w:rPr>
                <w:rFonts w:ascii="仿宋_GB2312" w:hAnsi="仿宋_GB2312" w:cs="仿宋_GB2312" w:eastAsia="仿宋_GB2312"/>
                <w:sz w:val="24"/>
              </w:rPr>
              <w:t>1200种，其中入选2020版北大医学的核心期刊数量</w:t>
            </w:r>
            <w:r>
              <w:rPr>
                <w:rFonts w:ascii="仿宋_GB2312" w:hAnsi="仿宋_GB2312" w:cs="仿宋_GB2312" w:eastAsia="仿宋_GB2312"/>
                <w:sz w:val="24"/>
              </w:rPr>
              <w:t>≥</w:t>
            </w:r>
            <w:r>
              <w:rPr>
                <w:rFonts w:ascii="仿宋_GB2312" w:hAnsi="仿宋_GB2312" w:cs="仿宋_GB2312" w:eastAsia="仿宋_GB2312"/>
                <w:sz w:val="24"/>
              </w:rPr>
              <w:t>160种，必须包含中国实用内科杂志、中国实用外科杂志、中国实用妇科与产科杂志、中国实用儿科杂志、中华高血压杂志、中国修复重建外科杂志等核心期刊，均要满足全文在线阅读和下载的需要。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2）博硕士学位论文数据库内容需涵盖基础医学、临床医学、预防医学、中国医学、药学、特种医学、生物科学、经营管理、计算机及应用等学科专业</w:t>
            </w:r>
            <w:r>
              <w:rPr>
                <w:rFonts w:ascii="仿宋_GB2312" w:hAnsi="仿宋_GB2312" w:cs="仿宋_GB2312" w:eastAsia="仿宋_GB2312"/>
                <w:sz w:val="24"/>
              </w:rPr>
              <w:t>，</w:t>
            </w:r>
            <w:r>
              <w:rPr>
                <w:rFonts w:ascii="仿宋_GB2312" w:hAnsi="仿宋_GB2312" w:cs="仿宋_GB2312" w:eastAsia="仿宋_GB2312"/>
                <w:sz w:val="24"/>
              </w:rPr>
              <w:t>均要满足全文在线阅读和下载的需要。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3）平台需按学科提供分类导航以及按中西医体系划分的知识导航体系，便于读者通过这些导航分类，快捷的获取相关知识。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4）平台需满足读者将收集好的文献资料按照特定的参考文献格式导出的功能，格式需包含标准的引文格式查新、自定义引文格式查新等格式；还应具备对检索结果生成检索报告的功能。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5）满足互联网账号及手机APP端使用需要。手机APP端应具备通过学科、期刊等条件定制内容，阅读文献的格式需支持CAJ和EPUB下载。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6）不限制同时在线人数。</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标的名称：外文医学文献数据库及中华医学期刊全文数据库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外文医学文献数据库</w:t>
            </w:r>
            <w:r>
              <w:rPr>
                <w:rFonts w:ascii="仿宋_GB2312" w:hAnsi="仿宋_GB2312" w:cs="仿宋_GB2312" w:eastAsia="仿宋_GB2312"/>
                <w:sz w:val="24"/>
                <w:b/>
              </w:rPr>
              <w:t>服务</w:t>
            </w:r>
          </w:p>
          <w:p>
            <w:pPr>
              <w:pStyle w:val="null3"/>
              <w:ind w:firstLine="240"/>
              <w:jc w:val="both"/>
            </w:pPr>
            <w:r>
              <w:rPr>
                <w:rFonts w:ascii="仿宋_GB2312" w:hAnsi="仿宋_GB2312" w:cs="仿宋_GB2312" w:eastAsia="仿宋_GB2312"/>
                <w:sz w:val="24"/>
              </w:rPr>
              <w:t>1）应具备对检索结果过滤的功能，帮助使用者筛选出高质量论文。</w:t>
            </w:r>
          </w:p>
          <w:p>
            <w:pPr>
              <w:pStyle w:val="null3"/>
              <w:ind w:firstLine="240"/>
              <w:jc w:val="both"/>
            </w:pPr>
            <w:r>
              <w:rPr>
                <w:rFonts w:ascii="仿宋_GB2312" w:hAnsi="仿宋_GB2312" w:cs="仿宋_GB2312" w:eastAsia="仿宋_GB2312"/>
                <w:sz w:val="24"/>
              </w:rPr>
              <w:t>2）文献的检索结果应具备文字、图片和图谱等呈现模式。</w:t>
            </w:r>
          </w:p>
          <w:p>
            <w:pPr>
              <w:pStyle w:val="null3"/>
              <w:ind w:firstLine="240"/>
              <w:jc w:val="both"/>
            </w:pPr>
            <w:r>
              <w:rPr>
                <w:rFonts w:ascii="仿宋_GB2312" w:hAnsi="仿宋_GB2312" w:cs="仿宋_GB2312" w:eastAsia="仿宋_GB2312"/>
                <w:sz w:val="24"/>
              </w:rPr>
              <w:t>3）应提供PICO循证医学检索功能。</w:t>
            </w:r>
          </w:p>
          <w:p>
            <w:pPr>
              <w:pStyle w:val="null3"/>
              <w:ind w:firstLine="240"/>
              <w:jc w:val="both"/>
            </w:pPr>
            <w:r>
              <w:rPr>
                <w:rFonts w:ascii="仿宋_GB2312" w:hAnsi="仿宋_GB2312" w:cs="仿宋_GB2312" w:eastAsia="仿宋_GB2312"/>
                <w:sz w:val="24"/>
              </w:rPr>
              <w:t>4）平台应提供一站式查阅欧洲专利和相关医学基金的功能模块。</w:t>
            </w:r>
          </w:p>
          <w:p>
            <w:pPr>
              <w:pStyle w:val="null3"/>
              <w:ind w:firstLine="240"/>
              <w:jc w:val="both"/>
            </w:pPr>
            <w:r>
              <w:rPr>
                <w:rFonts w:ascii="仿宋_GB2312" w:hAnsi="仿宋_GB2312" w:cs="仿宋_GB2312" w:eastAsia="仿宋_GB2312"/>
                <w:sz w:val="24"/>
              </w:rPr>
              <w:t>5）平台PC端应具备按中/英文页面切换的功能，应满足中英文双语翻译和全文下载的需要。</w:t>
            </w:r>
          </w:p>
          <w:p>
            <w:pPr>
              <w:pStyle w:val="null3"/>
              <w:ind w:firstLine="240"/>
              <w:jc w:val="both"/>
            </w:pPr>
            <w:r>
              <w:rPr>
                <w:rFonts w:ascii="仿宋_GB2312" w:hAnsi="仿宋_GB2312" w:cs="仿宋_GB2312" w:eastAsia="仿宋_GB2312"/>
                <w:sz w:val="24"/>
              </w:rPr>
              <w:t>6）满足手机APP端使用需求。</w:t>
            </w:r>
          </w:p>
          <w:p>
            <w:pPr>
              <w:pStyle w:val="null3"/>
              <w:ind w:firstLine="240"/>
              <w:jc w:val="both"/>
            </w:pPr>
            <w:r>
              <w:rPr>
                <w:rFonts w:ascii="仿宋_GB2312" w:hAnsi="仿宋_GB2312" w:cs="仿宋_GB2312" w:eastAsia="仿宋_GB2312"/>
                <w:sz w:val="24"/>
              </w:rPr>
              <w:t>7）满足至少50人同时在线</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2）中华医学期刊全文数据库</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rPr>
              <w:t>1）数据库可查阅的中华医学会系列期刊数量</w:t>
            </w:r>
            <w:r>
              <w:rPr>
                <w:rFonts w:ascii="仿宋_GB2312" w:hAnsi="仿宋_GB2312" w:cs="仿宋_GB2312" w:eastAsia="仿宋_GB2312"/>
                <w:sz w:val="24"/>
              </w:rPr>
              <w:t>≥</w:t>
            </w:r>
            <w:r>
              <w:rPr>
                <w:rFonts w:ascii="仿宋_GB2312" w:hAnsi="仿宋_GB2312" w:cs="仿宋_GB2312" w:eastAsia="仿宋_GB2312"/>
                <w:sz w:val="24"/>
              </w:rPr>
              <w:t>150种，数据库的文献总量</w:t>
            </w:r>
            <w:r>
              <w:rPr>
                <w:rFonts w:ascii="仿宋_GB2312" w:hAnsi="仿宋_GB2312" w:cs="仿宋_GB2312" w:eastAsia="仿宋_GB2312"/>
                <w:sz w:val="24"/>
              </w:rPr>
              <w:t>≥</w:t>
            </w:r>
            <w:r>
              <w:rPr>
                <w:rFonts w:ascii="仿宋_GB2312" w:hAnsi="仿宋_GB2312" w:cs="仿宋_GB2312" w:eastAsia="仿宋_GB2312"/>
                <w:sz w:val="24"/>
              </w:rPr>
              <w:t>120万篇，文献类型必须包含指南、论著、综述Meta分析以及病例报告等类别。所有期刊文献均提供全文PDF下载以及在线全文HTML阅读支持。</w:t>
            </w:r>
          </w:p>
          <w:p>
            <w:pPr>
              <w:pStyle w:val="null3"/>
              <w:ind w:firstLine="240"/>
              <w:jc w:val="both"/>
            </w:pPr>
            <w:r>
              <w:rPr>
                <w:rFonts w:ascii="仿宋_GB2312" w:hAnsi="仿宋_GB2312" w:cs="仿宋_GB2312" w:eastAsia="仿宋_GB2312"/>
                <w:sz w:val="24"/>
              </w:rPr>
              <w:t>2）数据库的检索结果须支持按学科、年度、研究类型、研究方法以及来源期刊进行筛选过滤。</w:t>
            </w:r>
          </w:p>
          <w:p>
            <w:pPr>
              <w:pStyle w:val="null3"/>
              <w:ind w:firstLine="240"/>
              <w:jc w:val="both"/>
            </w:pPr>
            <w:r>
              <w:rPr>
                <w:rFonts w:ascii="仿宋_GB2312" w:hAnsi="仿宋_GB2312" w:cs="仿宋_GB2312" w:eastAsia="仿宋_GB2312"/>
                <w:sz w:val="24"/>
              </w:rPr>
              <w:t>3）支持实名注册个人账号在电脑网页端和移动端APP端使用，可在线访问《中华医学期刊全文数据库》官网，可下载“中华医学期刊”APP在移动端使用。</w:t>
            </w:r>
          </w:p>
          <w:p>
            <w:pPr>
              <w:pStyle w:val="null3"/>
              <w:ind w:firstLine="240"/>
              <w:jc w:val="both"/>
            </w:pPr>
            <w:r>
              <w:rPr>
                <w:rFonts w:ascii="仿宋_GB2312" w:hAnsi="仿宋_GB2312" w:cs="仿宋_GB2312" w:eastAsia="仿宋_GB2312"/>
                <w:sz w:val="24"/>
              </w:rPr>
              <w:t>4）满足至少50人同时在线</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1、质量要求：服务期内保证数据库的正常使用，如遇问题，2小时内响应，24小时内排除故障，必要时到达现场提供技术支持，达到正常使用； 2、验收标准：合同签订后，使用科室正常使用一个月未出现任何问题，可签署验收合格单；3、交付期：合同签订后7个工作日内交付并开通互联网账号；4、售后服务要求： （1）提供7x24小时技术支持，每月通过网络、电话或上门做巡检服务≥2次，并做好巡检记录，从而更好了解系统的运行状况，使系统处于最佳运行状态。 （2）电话技术支持，协助院方工程师的日常维护，电话指导不能解决的问题，24小时内安排专人到现场服务解决；5、培训要求： 服务期内每年提供≥2次数据库使用培训。培训方式以及培训地点根据院方要求进行安排。</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1、质量要求：服务期内保证数据库的正常使用，如遇问题，2小时内响应，24小时内排除故障，必要时到达现场提供技术支持，达到正常使用； 2、验收标准：合同签订后，使用科室正常使用一个月未出现任何问题，可签署验收合格单；3、交付期：合同签订后7个工作日内交付并开通互联网账号；4、售后服务要求： （1）提供7x24小时技术支持，每月通过网络、电话或上门做巡检服务≥2次，并做好巡检记录，从而更好了解系统的运行状况，使系统处于最佳运行状态。 （2）电话技术支持，协助院方工程师的日常维护，电话指导不能解决的问题，24小时内安排专人到现场服务解决；5、培训要求： 服务期内每年提供≥2次数据库使用培训。培训方式以及培训地点根据院方要求进行安排。</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服务期3年，合同一年一签。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服务期3年，合同一年一签。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西安市第九医院内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甲方约定地方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合同签订后，使用科室正常使用一个月未出现任何问题，可签署验收合格单。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合同签订后，使用科室正常使用一个月未出现任何问题，可签署验收合格单。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①第一期付款：自合同签订之日起，正常使用一个月且验收合格后，甲方收到中标方结算资料后60个日历日内支付第一年服务款项的100%； ②第二期付款：第一年服务期到期后，重新续签合同之日起，正常使用一个月且验收合格后，甲方收到中标方结算资料后60个日历日内支付第二年服务款项的100%； ③第三期付款：第二年服务期到期后，重新续签合同之日起，正常使用一个月且验收合格后，甲方收到中标方结算资料后60个日历日内支付第三年服务款项的100%</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①第一期付款：自合同签订之日起，正常使用一个月且验收合格后，甲方收到中标方结算资料后60个日历日内支付第一年服务款项的100%； ②第二期付款：第一年服务期到期后，重新续签合同之日起，正常使用一个月且验收合格后，甲方收到中标方结算资料后60个日历日内支付第二年服务款项的100%； ③第三期付款：第二年服务期到期后，重新续签合同之日起，正常使用一个月且验收合格后，甲方收到中标方结算资料后60个日历日内支付第三年服务款项的100%</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按磋商文件要求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1、质保、维保期： 1）服务期：3年，服务期自合同签订之日起计算，同时保证系统能正常使用一个月后，双方可签署验收合格单；如一个月内验收不合格，则服务期按验收时间顺延。 2）服务期内中标方要保证合同期内的系统功能完善，服务期内的数据库维护、软件升级等服务费用均由中标方自行承担。 2、支付方式：网上转账或汇款 ①结算方式：持西安市第九医院项目验收合格单（一式两份），支付金额的发票、服务合同到西安市第九医院办理资金结算。 3、线下提交响应文件时间：响应文件递交截止时间前提交响应文件正本一份、副本二份、电子版U盘一份（电子版需包括正本扫描件、U盘标明供应商名称，随正本密封）。文件须密封（密封以不泄露供应商商业机密、资格内容、技术及商务内容为标准）。若电子响应文件与纸质响应文件不一致的，以电子响应文件为准；若正本和副本不一致的，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供应商基本信息.docx 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供应商企业关联关系说明书.docx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供应商认为其他有必要提供的资料.docx 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供应商企业关联关系说明书.docx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供应商应授权合法的人员参加采购全过程</w:t>
            </w:r>
          </w:p>
        </w:tc>
        <w:tc>
          <w:tcPr>
            <w:tcW w:type="dxa" w:w="3322"/>
          </w:tcPr>
          <w:p>
            <w:pPr>
              <w:pStyle w:val="null3"/>
            </w:pPr>
            <w:r>
              <w:rPr>
                <w:rFonts w:ascii="仿宋_GB2312" w:hAnsi="仿宋_GB2312" w:cs="仿宋_GB2312" w:eastAsia="仿宋_GB2312"/>
              </w:rPr>
              <w:t>法定代表人/负责人直接参加的，须递交《法定代表人/负责人身份证明》和身份证；法定代表人/负责人授权代表参加的，须递交《法定代表人/负责人授权书》和被授权人身份证及被授权代表本单位证明（提供在磋商截止时间前近三个月社会保险缴纳证明），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具有财务审计资质单位出具的2023年度或2024年度的经审计的财务报告或磋商前六个月内其基本账户银行出具的资信证明或财政部门认可的政府采购专业担保机构出具的担保函，以上形式的证明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2025年1月1日以来至少一个月的纳税证明或完税证明(增值税、企业所得税至少一种)，纳税证明或完税证明上应有代收机构或税务机关的公章或业务专用章；其他组织和自然人提供自2025年1月1日以来至少一个月缴纳税收的凭据；依法免税的投标人应提供相关证明文件，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2025年1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投标人需在项目电子化交易系统中按要求填写《无重大违法记录声明》完成承诺，并进行电子签章。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投标人需在项目电子化交易系统中按要求填写《具有履行合同所必需的设备和专业技术能力的承诺书》完成承诺，并进行电子签章。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非联合体磋商承诺函</w:t>
            </w:r>
          </w:p>
        </w:tc>
        <w:tc>
          <w:tcPr>
            <w:tcW w:type="dxa" w:w="3322"/>
          </w:tcPr>
          <w:p>
            <w:pPr>
              <w:pStyle w:val="null3"/>
            </w:pPr>
            <w:r>
              <w:rPr>
                <w:rFonts w:ascii="仿宋_GB2312" w:hAnsi="仿宋_GB2312" w:cs="仿宋_GB2312" w:eastAsia="仿宋_GB2312"/>
              </w:rPr>
              <w:t>投标人需在项目电子化交易系统中按要求填写非联合体函诺函，并进行电子签章。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本公司法人、出资人、参股人无招标方在职工作人员</w:t>
            </w:r>
          </w:p>
        </w:tc>
        <w:tc>
          <w:tcPr>
            <w:tcW w:type="dxa" w:w="3322"/>
          </w:tcPr>
          <w:p>
            <w:pPr>
              <w:pStyle w:val="null3"/>
            </w:pPr>
            <w:r>
              <w:rPr>
                <w:rFonts w:ascii="仿宋_GB2312" w:hAnsi="仿宋_GB2312" w:cs="仿宋_GB2312" w:eastAsia="仿宋_GB2312"/>
              </w:rPr>
              <w:t>投标人需在项目电子化交易系统中按要求填写“本公司法人、出资人、参股人无招标方在职工作人员的承诺函，并进行电子签章。</w:t>
            </w:r>
          </w:p>
        </w:tc>
        <w:tc>
          <w:tcPr>
            <w:tcW w:type="dxa" w:w="1661"/>
          </w:tcPr>
          <w:p>
            <w:pPr>
              <w:pStyle w:val="null3"/>
            </w:pPr>
            <w:r>
              <w:rPr>
                <w:rFonts w:ascii="仿宋_GB2312" w:hAnsi="仿宋_GB2312" w:cs="仿宋_GB2312" w:eastAsia="仿宋_GB2312"/>
              </w:rPr>
              <w:t>供应商资格证明材料.docx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供应商应授权合法的人员参加采购全过程</w:t>
            </w:r>
          </w:p>
        </w:tc>
        <w:tc>
          <w:tcPr>
            <w:tcW w:type="dxa" w:w="3322"/>
          </w:tcPr>
          <w:p>
            <w:pPr>
              <w:pStyle w:val="null3"/>
            </w:pPr>
            <w:r>
              <w:rPr>
                <w:rFonts w:ascii="仿宋_GB2312" w:hAnsi="仿宋_GB2312" w:cs="仿宋_GB2312" w:eastAsia="仿宋_GB2312"/>
              </w:rPr>
              <w:t>法定代表人/负责人直接参加的，须递交《法定代表人/负责人身份证明》和身份证；法定代表人/负责人授权代表参加的，须递交《法定代表人/负责人授权书》和被授权人身份证及被授权代表本单位证明（提供在磋商截止时间前近三个月社会保险缴纳证明），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具有财务审计资质单位出具的2023年度或2024年度的经审计的财务报告或磋商前六个月内其基本账户银行出具的资信证明或财政部门认可的政府采购专业担保机构出具的担保函，以上形式的证明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2025年1月1日以来至少一个月的纳税证明或完税证明(增值税、企业所得税至少一种)，纳税证明或完税证明上应有代收机构或税务机关的公章或业务专用章；其他组织和自然人提供自2025年1月1日以来至少一个月缴纳税收的凭据；依法免税的投标人应提供相关证明文件，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2025年1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投标人需在项目电子化交易系统中按要求填写《无重大违法记录声明》完成承诺，并进行电子签章。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投标人需在项目电子化交易系统中按要求填写《具有履行合同所必需的设备和专业技术能力的承诺书》完成承诺，并进行电子签章。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非联合体磋商承诺函</w:t>
            </w:r>
          </w:p>
        </w:tc>
        <w:tc>
          <w:tcPr>
            <w:tcW w:type="dxa" w:w="3322"/>
          </w:tcPr>
          <w:p>
            <w:pPr>
              <w:pStyle w:val="null3"/>
            </w:pPr>
            <w:r>
              <w:rPr>
                <w:rFonts w:ascii="仿宋_GB2312" w:hAnsi="仿宋_GB2312" w:cs="仿宋_GB2312" w:eastAsia="仿宋_GB2312"/>
              </w:rPr>
              <w:t>投标人需在项目电子化交易系统中按要求填写非联合体函诺函，并进行电子签章。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本公司法人、出资人、参股人无招标方在职工作人员</w:t>
            </w:r>
          </w:p>
        </w:tc>
        <w:tc>
          <w:tcPr>
            <w:tcW w:type="dxa" w:w="3322"/>
          </w:tcPr>
          <w:p>
            <w:pPr>
              <w:pStyle w:val="null3"/>
            </w:pPr>
            <w:r>
              <w:rPr>
                <w:rFonts w:ascii="仿宋_GB2312" w:hAnsi="仿宋_GB2312" w:cs="仿宋_GB2312" w:eastAsia="仿宋_GB2312"/>
              </w:rPr>
              <w:t>投标人需在项目电子化交易系统中按要求填写“本公司法人、出资人、参股人无招标方在职工作人员的承诺函，并进行电子签章。</w:t>
            </w:r>
          </w:p>
        </w:tc>
        <w:tc>
          <w:tcPr>
            <w:tcW w:type="dxa" w:w="1661"/>
          </w:tcPr>
          <w:p>
            <w:pPr>
              <w:pStyle w:val="null3"/>
            </w:pPr>
            <w:r>
              <w:rPr>
                <w:rFonts w:ascii="仿宋_GB2312" w:hAnsi="仿宋_GB2312" w:cs="仿宋_GB2312" w:eastAsia="仿宋_GB2312"/>
              </w:rPr>
              <w:t>供应商资格证明材料.docx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投标报价不得超过最高限价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供应商须提供参加政府采购活动承诺书（格式见响应文件格式附件）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响应文件封面 供应商认为其他有必要提供的资料.docx 供应商基本信息.docx 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投标报价不得超过最高限价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供应商须提供参加政府采购活动承诺书（格式见响应文件格式附件）</w:t>
            </w:r>
          </w:p>
        </w:tc>
        <w:tc>
          <w:tcPr>
            <w:tcW w:type="dxa" w:w="1661"/>
          </w:tcPr>
          <w:p>
            <w:pPr>
              <w:pStyle w:val="null3"/>
            </w:pPr>
            <w:r>
              <w:rPr>
                <w:rFonts w:ascii="仿宋_GB2312" w:hAnsi="仿宋_GB2312" w:cs="仿宋_GB2312" w:eastAsia="仿宋_GB2312"/>
              </w:rPr>
              <w:t>响应文件封面 供应商基本信息.docx 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供应商对第三章3.2技术要求条款内容在技术（服务）要求响应偏离表中逐条进行明确响应。若须提供证明材料才可证明其真实性的应当提供相关证明材料。 其中：技术指标响应全部满足或优于招标文件技术参数及功能要求得20分。 除★外，▲为重要参数，每出现一项负偏离扣4分，一般参数每负偏离一项扣2分，扣完为止。 备注：1、证明材料要求：不限于官网截图或用户使用说明书或技术规格书或产品彩页或加盖供应商公章的白皮书或技术规格书。 2、未按要求提供证明材料视为负偏离。 注：投标人需对所提供内容的真实性负责。如有虚假，将依法承担相应责任。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商务响应偏离表.docx</w:t>
            </w:r>
          </w:p>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提供项目实施方案、质量保障方案、实施进度计划、项目组织管理等内容，根据完整性、合理性、可行性进行评价。 服务、质量、进度、组织方案全面、合理、可行性强，完全满足采购要求的一项得5分；服务、质量、进度、组织方案全面、合理、有一定的可行性，能满足采购要求的一项得4分；服务、质量、进度、组织方案较完整、合理、基本可行的一项得3分； 服务、质量、进度、组织方案不完整，部分满足采购要求的一项得1分；服务、质量、进度、组织方案严重缺失或存在较大不合理的不得分。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供应商根据采购需求，提供项目培训方案，包括但不限于培训组织架构、培训内容、培训方式、培训流程及日程安排。 方案详尽，合理可行，逻辑清楚，针对性及可行性强，得10分； 方案较完善，有一定的逻辑性、针对性、可行性，得7分； 方案内容基本合理，基本可行得5分； 方案内容简单笼统，方案针对性一般得3分； 方案内容缺失、方案针对性较差得1分；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供应商针对本项目提供良好的售后服务能力，（包括但不限于专业技术人员负责对接保障，及时响应，应急处理方案，需要上门解决时，免费升级服务保障等）。 服务能力详尽，合理可行，逻辑清楚，针对性及可行性强，得10分； 服务能力较完善，有一定的逻辑性、针对性、可行性，得7分； 服务能力内容基本合理，基本可行得5分； 服务能力内容简单笼统，方案针对性一般得3分； 服务能力内容缺失、方案针对性较差得1分；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1、拟投入本项目组织机构合理、人员计划安排非常得当，人员具有类似项目工作经历，得8分； 拟投入本项目组织机构较合理、人员计划安排得当，人员具有类似项目工作经历，得7分；拟投入本项目组织机构基本合理、人员计划安排基本得当，人员具有类似项目工作经历，得6分；拟投入本项目组织机构完备、人力计划安排得当，仅能满足日常需要的得4分；拟投入本项目组织机构较差、人力计划安排混乱，仅能满足日常需要的得1分； 无对应内容响应的本项不得分。 2、拟投入人员能提供7*24小时专人驻场服务者，得2分，未提供不得分。 3、项目团队专职人员具有与本项目服务内容相关的专业资质证书者，每有1人，得1分，最高得5分。（提供资质证书复印件并加盖公章。）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供应商提供2022年1月1日起至今3家医院类似项目业绩，得基本分2分，每增加1家加1分，最高得5分。 （备注：不够三家医院的同类项目业绩的，业绩得0分。供应商应在响应文件中提供业绩合同复印件或扫描件且加盖单位公章，时间以合同签订时间为准。）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1.满足磋商文件实质性要求且最后报价最低的供应商价格为投标基准价，其价格分为满分20分。 2.投标报价得分=（投标基准价/投标报价）×20。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供应商对第三章3.2技术要求条款内容在技术（服务）要求响应偏离表中逐条进行明确响应。若须提供证明材料才可证明其真实性的应当提供相关证明材料。 其中：技术指标响应全部满足或优于招标文件技术参数及功能要求得20分。 除★外，▲为重要参数，每出现一项负偏离扣4分，一般参数每负偏离一项扣2分，扣完为止。 备注：1、证明材料要求：不限于官网截图或用户使用说明书或技术规格书或产品彩页或加盖供应商公章的白皮书或技术规格书。 2、未按要求提供证明材料视为负偏离。 注：投标人需对所提供内容的真实性负责。如有虚假，将依法承担相应责任。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商务响应偏离表.docx</w:t>
            </w:r>
          </w:p>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提供项目实施方案、质量保障方案、实施进度计划、项目组织管理等内容，根据完整性、合理性、可行性进行评价。 服务、质量、进度、组织方案全面、合理、可行性强，完全满足采购要求的一项得5分；服务、质量、进度、组织方案全面、合理、有一定的可行性，能满足采购要求的一项得4分；服务、质量、进度、组织方案较完整、合理、基本可行的一项得3分； 服务、质量、进度、组织方案不完整，部分满足采购要求的一项得1分；服务、质量、进度、组织方案严重缺失或存在较大不合理的不得分。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供应商根据采购需求，提供项目培训方案，包括但不限于培训组织架构、培训内容、培训方式、培训流程及日程安排。 方案详尽，合理可行，逻辑清楚，针对性及可行性强，得10分； 方案较完善，有一定的逻辑性、针对性、可行性，得7分； 方案内容基本合理，基本可行得5分； 方案内容简单笼统，方案针对性一般得3分； 方案内容缺失、方案针对性较差得1分；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供应商针对本项目提供良好的售后服务能力，（包括但不限于专业技术人员负责对接保障，及时响应，应急处理方案，需要上门解决时，免费升级服务保障等）。 服务能力详尽，合理可行，逻辑清楚，针对性及可行性强，得10分； 服务能力较完善，有一定的逻辑性、针对性、可行性，得7分； 服务能力内容基本合理，基本可行得5分； 服务能力内容简单笼统，方案针对性一般得3分； 服务能力内容缺失、方案针对性较差得1分；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1、拟投入本项目组织机构合理、人员计划安排非常得当，人员具有类似项目工作经历，得8分； 拟投入本项目组织机构较合理、人员计划安排得当，人员具有类似项目工作经历，得7分；拟投入本项目组织机构基本合理、人员计划安排基本得当，人员具有类似项目工作经历，得6分；拟投入本项目组织机构完备、人力计划安排得当，仅能满足日常需要的得4分；拟投入本项目组织机构较差、人力计划安排混乱，仅能满足日常需要的得1分； 无对应内容响应的本项不得分。 2、拟投入人员能提供7*24小时专人驻场服务者，得2分，未提供不得分。 3、项目团队专职人员具有与本项目服务内容相关的专业资质证书者，每有1人，得1分，最高得5分。（提供资质证书复印件并加盖公章。）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供应商提供2022年1月1日起至今3家医院类似项目业绩，得基本分2分，每增加1家加1分，最高得5分。 （备注：不够三家医院的同类项目业绩的，业绩得0分。供应商应在响应文件中提供业绩合同复印件或扫描件且加盖单位公章，时间以合同签订时间为准。）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1.满足磋商文件实质性要求且最后报价最低的供应商价格为投标基准价，其价格分为满分20分。 2.投标报价得分=（投标基准价/投标报价）×20。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详见附件：供应商基本信息.docx</w:t>
      </w:r>
    </w:p>
    <w:p>
      <w:pPr>
        <w:pStyle w:val="null3"/>
        <w:ind w:firstLine="960"/>
      </w:pPr>
      <w:r>
        <w:rPr>
          <w:rFonts w:ascii="仿宋_GB2312" w:hAnsi="仿宋_GB2312" w:cs="仿宋_GB2312" w:eastAsia="仿宋_GB2312"/>
        </w:rPr>
        <w:t>详见附件：供应商企业关联关系说明书.docx</w:t>
      </w:r>
    </w:p>
    <w:p>
      <w:pPr>
        <w:pStyle w:val="null3"/>
        <w:ind w:firstLine="960"/>
      </w:pPr>
      <w:r>
        <w:rPr>
          <w:rFonts w:ascii="仿宋_GB2312" w:hAnsi="仿宋_GB2312" w:cs="仿宋_GB2312" w:eastAsia="仿宋_GB2312"/>
        </w:rPr>
        <w:t>详见附件：供应商认为其他有必要提供的资料.docx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详见附件：供应商资格证明材料.docx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详见附件：项目实施方案.docx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详见附件：供应商基本信息.docx</w:t>
      </w:r>
    </w:p>
    <w:p>
      <w:pPr>
        <w:pStyle w:val="null3"/>
        <w:ind w:firstLine="960"/>
      </w:pPr>
      <w:r>
        <w:rPr>
          <w:rFonts w:ascii="仿宋_GB2312" w:hAnsi="仿宋_GB2312" w:cs="仿宋_GB2312" w:eastAsia="仿宋_GB2312"/>
        </w:rPr>
        <w:t>详见附件：供应商企业关联关系说明书.docx</w:t>
      </w:r>
    </w:p>
    <w:p>
      <w:pPr>
        <w:pStyle w:val="null3"/>
        <w:ind w:firstLine="960"/>
      </w:pPr>
      <w:r>
        <w:rPr>
          <w:rFonts w:ascii="仿宋_GB2312" w:hAnsi="仿宋_GB2312" w:cs="仿宋_GB2312" w:eastAsia="仿宋_GB2312"/>
        </w:rPr>
        <w:t>详见附件：供应商认为其他有必要提供的资料.docx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详见附件：供应商资格证明材料.docx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详见附件：项目实施方案.docx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